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53933df1a.htm"/>
      <w:bookmarkStart w:id="1" w:name="ksd553933df1a"/>
      <w:bookmarkEnd w:id="0"/>
      <w:bookmarkEnd w:id="1"/>
      <w:r>
        <w:rPr>
          <w:rFonts w:ascii="Times New Roman" w:hAnsi="Times New Roman"/>
          <w:b/>
          <w:sz w:val="20"/>
        </w:rPr>
        <w:t xml:space="preserve">As filed with the Securities and Exchange Commission on January 22,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333-275205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Amendment No. 4 to </w:t>
      </w:r>
    </w:p>
    <w:p>
      <w:pPr>
        <w:pStyle w:val="TextBody"/>
        <w:bidi w:val="0"/>
        <w:spacing w:before="0" w:after="0"/>
        <w:jc w:val="center"/>
        <w:rPr>
          <w:rFonts w:ascii="Times New Roman" w:hAnsi="Times New Roman"/>
          <w:b/>
          <w:sz w:val="36"/>
        </w:rPr>
      </w:pPr>
      <w:r>
        <w:rPr>
          <w:rFonts w:ascii="Times New Roman" w:hAnsi="Times New Roman"/>
          <w:b/>
          <w:sz w:val="36"/>
        </w:rPr>
        <w:t xml:space="preserve">Form F-1 </w:t>
      </w:r>
    </w:p>
    <w:p>
      <w:pPr>
        <w:pStyle w:val="TextBody"/>
        <w:bidi w:val="0"/>
        <w:spacing w:before="0" w:after="0"/>
        <w:jc w:val="center"/>
        <w:rPr>
          <w:rFonts w:ascii="Times New Roman" w:hAnsi="Times New Roman"/>
          <w:b/>
          <w:i/>
          <w:sz w:val="24"/>
        </w:rPr>
      </w:pPr>
      <w:r>
        <w:rPr>
          <w:rFonts w:ascii="Times New Roman" w:hAnsi="Times New Roman"/>
          <w:b/>
          <w:i/>
          <w:sz w:val="2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MoneyHero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Cayman Islands</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7389</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N/A</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No.)</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70 Shenton Way </w:t>
      </w:r>
    </w:p>
    <w:p>
      <w:pPr>
        <w:pStyle w:val="TextBody"/>
        <w:bidi w:val="0"/>
        <w:spacing w:before="0" w:after="0"/>
        <w:jc w:val="center"/>
        <w:rPr>
          <w:rFonts w:ascii="Times New Roman" w:hAnsi="Times New Roman"/>
          <w:b/>
          <w:sz w:val="18"/>
        </w:rPr>
      </w:pPr>
      <w:r>
        <w:rPr>
          <w:rFonts w:ascii="Times New Roman" w:hAnsi="Times New Roman"/>
          <w:b/>
          <w:sz w:val="18"/>
        </w:rPr>
        <w:t xml:space="preserve">#18-15, EON Shenton, S079118 </w:t>
      </w:r>
    </w:p>
    <w:p>
      <w:pPr>
        <w:pStyle w:val="TextBody"/>
        <w:bidi w:val="0"/>
        <w:spacing w:before="0" w:after="0"/>
        <w:jc w:val="center"/>
        <w:rPr>
          <w:rFonts w:ascii="Times New Roman" w:hAnsi="Times New Roman"/>
          <w:b/>
          <w:sz w:val="18"/>
        </w:rPr>
      </w:pPr>
      <w:r>
        <w:rPr>
          <w:rFonts w:ascii="Times New Roman" w:hAnsi="Times New Roman"/>
          <w:b/>
          <w:sz w:val="18"/>
        </w:rPr>
        <w:t xml:space="preserve">Singapore </w:t>
      </w:r>
    </w:p>
    <w:p>
      <w:pPr>
        <w:pStyle w:val="TextBody"/>
        <w:bidi w:val="0"/>
        <w:spacing w:before="0" w:after="0"/>
        <w:jc w:val="center"/>
        <w:rPr>
          <w:rFonts w:ascii="Times New Roman" w:hAnsi="Times New Roman"/>
          <w:b/>
          <w:sz w:val="18"/>
        </w:rPr>
      </w:pPr>
      <w:r>
        <w:rPr>
          <w:rFonts w:ascii="Times New Roman" w:hAnsi="Times New Roman"/>
          <w:b/>
          <w:sz w:val="18"/>
        </w:rPr>
        <w:t xml:space="preserve">+65 6322 4392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Cogency Global Inc. </w:t>
      </w:r>
    </w:p>
    <w:p>
      <w:pPr>
        <w:pStyle w:val="TextBody"/>
        <w:bidi w:val="0"/>
        <w:spacing w:before="0" w:after="0"/>
        <w:jc w:val="center"/>
        <w:rPr>
          <w:rFonts w:ascii="Times New Roman" w:hAnsi="Times New Roman"/>
          <w:b/>
          <w:sz w:val="18"/>
        </w:rPr>
      </w:pPr>
      <w:r>
        <w:rPr>
          <w:rFonts w:ascii="Times New Roman" w:hAnsi="Times New Roman"/>
          <w:b/>
          <w:sz w:val="18"/>
        </w:rPr>
        <w:t xml:space="preserve">122 East 42nd Street, 18th Floor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10168 </w:t>
      </w:r>
    </w:p>
    <w:p>
      <w:pPr>
        <w:pStyle w:val="TextBody"/>
        <w:bidi w:val="0"/>
        <w:spacing w:before="0" w:after="0"/>
        <w:jc w:val="center"/>
        <w:rPr>
          <w:rFonts w:ascii="Times New Roman" w:hAnsi="Times New Roman"/>
          <w:b/>
          <w:sz w:val="18"/>
        </w:rPr>
      </w:pPr>
      <w:r>
        <w:rPr>
          <w:rFonts w:ascii="Times New Roman" w:hAnsi="Times New Roman"/>
          <w:b/>
          <w:sz w:val="18"/>
        </w:rPr>
        <w:t xml:space="preserve">+1(800) 221-0102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Joey Chau</w:t>
              <w:br/>
              <w:t>Jesse Sheley</w:t>
            </w:r>
          </w:p>
          <w:p>
            <w:pPr>
              <w:pStyle w:val="TableContents"/>
              <w:bidi w:val="0"/>
              <w:spacing w:before="0" w:after="20"/>
              <w:jc w:val="center"/>
              <w:rPr>
                <w:rFonts w:ascii="Times New Roman" w:hAnsi="Times New Roman"/>
                <w:b/>
                <w:sz w:val="18"/>
              </w:rPr>
            </w:pPr>
            <w:r>
              <w:rPr>
                <w:rFonts w:ascii="Times New Roman" w:hAnsi="Times New Roman"/>
                <w:b/>
                <w:sz w:val="18"/>
              </w:rPr>
              <w:t>Joseph Raymond Casey</w:t>
              <w:br/>
              <w:t>Kirkland &amp; Ellis</w:t>
              <w:br/>
              <w:t>26th Floor, Gloucester Tower</w:t>
              <w:br/>
              <w:t>The Landmark</w:t>
              <w:br/>
              <w:t>15 Queens Road Central</w:t>
              <w:br/>
              <w:t>Hong Kong</w:t>
              <w:br/>
              <w:t>+852 3761-3300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8"/>
              </w:rPr>
            </w:pPr>
            <w:r>
              <w:rPr>
                <w:rFonts w:ascii="Times New Roman" w:hAnsi="Times New Roman"/>
                <w:b/>
                <w:sz w:val="18"/>
              </w:rPr>
              <w:t>Steve Lin</w:t>
              <w:br/>
              <w:t>Kirkland &amp; Ellis International LLP</w:t>
              <w:br/>
              <w:t>58th Floor, China World Tower A</w:t>
              <w:br/>
              <w:t>No. 1 Jian Guo Men Wai Avenue</w:t>
              <w:br/>
              <w:t>Beijing 100004, P.R. China</w:t>
            </w:r>
          </w:p>
          <w:p>
            <w:pPr>
              <w:pStyle w:val="TableContents"/>
              <w:bidi w:val="0"/>
              <w:spacing w:before="0" w:after="20"/>
              <w:jc w:val="center"/>
              <w:rPr>
                <w:rFonts w:ascii="Times New Roman" w:hAnsi="Times New Roman"/>
                <w:b/>
                <w:sz w:val="18"/>
              </w:rPr>
            </w:pPr>
            <w:r>
              <w:rPr>
                <w:rFonts w:ascii="Times New Roman" w:hAnsi="Times New Roman"/>
                <w:b/>
                <w:sz w:val="18"/>
              </w:rPr>
              <w:t>+86 10 5737-9300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earliest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an emerging growth company as defined in Rule 405 of the Securities Act of 1933. </w:t>
      </w:r>
    </w:p>
    <w:p>
      <w:pPr>
        <w:pStyle w:val="TextBody"/>
        <w:bidi w:val="0"/>
        <w:spacing w:before="120" w:after="0"/>
        <w:jc w:val="left"/>
        <w:rPr>
          <w:rFonts w:ascii="Times New Roman" w:hAnsi="Times New Roman"/>
          <w:sz w:val="16"/>
        </w:rPr>
      </w:pPr>
      <w:r>
        <w:rPr>
          <w:rFonts w:ascii="Times New Roman" w:hAnsi="Times New Roman"/>
          <w:sz w:val="16"/>
        </w:rPr>
        <w:t xml:space="preserve">Emerging growth company  ☒ </w:t>
      </w:r>
    </w:p>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(the Registrant) hereby amends this registration statement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4 (this Amendment No. 4) to the registration statement on Form F-1 (Registration Statement) is being filed solely for the purpose of replacing Exhibit 5.1 to the Registration Statement. This Amendment No. 4 does not modify any provision of the prospectus that forms a part of the Registration Statement and accordingly, such prospectus has been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PubCo Articles provide for indemnification of PubCos officers and directors to the maximum extent permitted by law, including for any liability incurred in their capacities as such, except through their own dishonesty, willful default or fraud. </w:t>
      </w:r>
    </w:p>
    <w:p>
      <w:pPr>
        <w:pStyle w:val="TextBody"/>
        <w:bidi w:val="0"/>
        <w:spacing w:before="240" w:after="0"/>
        <w:jc w:val="left"/>
        <w:rPr>
          <w:rFonts w:ascii="Times New Roman" w:hAnsi="Times New Roman"/>
          <w:sz w:val="20"/>
        </w:rPr>
      </w:pPr>
      <w:r>
        <w:rPr>
          <w:rFonts w:ascii="Times New Roman" w:hAnsi="Times New Roman"/>
          <w:sz w:val="20"/>
        </w:rPr>
        <w:t xml:space="preserve">PubCo has entered into indemnification agreements with its directors and executive officers, agreeing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its director or officer. Except with respect to expenses to be reimbursed by it in the event that the indemnified person has been successful on the merits or otherwise in defense of the action, suit or proceeding, our obligations under the indemnification agreements are subject to certain customary restrictions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 Sales of Unregistered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21, 2023, in connection with the incorporation of PubCo, PubCo issued for nil consideration one ordinary share to WNL Limited, which was transferred to Derek Fong on the same day, and one ordinary share to Kenneth Chan, both of which were cancelled on October 12, 2023. In connection with the Business Combination, PubCo issued the following securities that were not registered under the Securities Act: (i) 15,010,261 PubCo Class A Ordinary Shares, (ii) 13,254,838 PubCo Class B Ordinary Shares, (iii) 1,955,802 PubCo Preference Shares, (iv) 5,100,121 PubCo Class A Warrants, (v) 1,666,666 PubCo Public Warrants and (vi) 6,449,936 PubCo Sponsor Warrants. The foregoing share issuance was made in a private placement in reliance upon the exemption from registration under the Securities Act provided in Section 4(a)(2) of the Securities Act and/or Regulation D or Regulation S promulgated thereunder. In November 2023, PubCo issued 325,000 PubCo Class A Ordinary Shares BTIG, LLC (BTIG) as compensation for certain strategic and capital markets advisory services to be provided by BTIG to PubCo following the closing of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8.</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
        <w:gridCol w:w="191"/>
        <w:gridCol w:w="3569"/>
        <w:gridCol w:w="191"/>
        <w:gridCol w:w="228"/>
        <w:gridCol w:w="795"/>
        <w:gridCol w:w="60"/>
        <w:gridCol w:w="191"/>
        <w:gridCol w:w="89"/>
        <w:gridCol w:w="504"/>
        <w:gridCol w:w="60"/>
        <w:gridCol w:w="191"/>
        <w:gridCol w:w="60"/>
        <w:gridCol w:w="741"/>
        <w:gridCol w:w="59"/>
        <w:gridCol w:w="191"/>
        <w:gridCol w:w="121"/>
        <w:gridCol w:w="672"/>
        <w:gridCol w:w="60"/>
        <w:gridCol w:w="191"/>
        <w:gridCol w:w="1456"/>
      </w:tblGrid>
      <w:tr>
        <w:trPr/>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58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56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4395" w:type="dxa"/>
            <w:gridSpan w:val="13"/>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r>
      <w:tr>
        <w:trPr/>
        <w:tc>
          <w:tcPr>
            <w:tcW w:w="58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91" w:type="dxa"/>
            <w:tcBorders/>
            <w:vAlign w:val="bottom"/>
          </w:tcPr>
          <w:p>
            <w:pPr>
              <w:pStyle w:val="TableContents"/>
              <w:bidi w:val="0"/>
              <w:spacing w:before="0" w:after="283"/>
              <w:jc w:val="left"/>
              <w:rPr/>
            </w:pPr>
            <w:r>
              <w:rPr/>
              <w:t>  </w:t>
            </w:r>
          </w:p>
        </w:tc>
        <w:tc>
          <w:tcPr>
            <w:tcW w:w="35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1"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5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c>
          <w:tcPr>
            <w:tcW w:w="585" w:type="dxa"/>
            <w:tcBorders/>
          </w:tcPr>
          <w:p>
            <w:pPr>
              <w:pStyle w:val="TableContents"/>
              <w:bidi w:val="0"/>
              <w:spacing w:before="0" w:after="283"/>
              <w:jc w:val="left"/>
              <w:rPr/>
            </w:pPr>
            <w:r>
              <w:rPr/>
              <w:t>2.1+</w:t>
            </w:r>
          </w:p>
        </w:tc>
        <w:tc>
          <w:tcPr>
            <w:tcW w:w="191" w:type="dxa"/>
            <w:tcBorders/>
            <w:vAlign w:val="bottom"/>
          </w:tcPr>
          <w:p>
            <w:pPr>
              <w:pStyle w:val="TableContents"/>
              <w:bidi w:val="0"/>
              <w:spacing w:before="0" w:after="283"/>
              <w:jc w:val="left"/>
              <w:rPr/>
            </w:pPr>
            <w:r>
              <w:rPr/>
              <w:t>  </w:t>
            </w:r>
          </w:p>
        </w:tc>
        <w:tc>
          <w:tcPr>
            <w:tcW w:w="3569" w:type="dxa"/>
            <w:tcBorders/>
          </w:tcPr>
          <w:p>
            <w:pPr>
              <w:pStyle w:val="TableContents"/>
              <w:bidi w:val="0"/>
              <w:spacing w:before="0" w:after="283"/>
              <w:jc w:val="left"/>
              <w:rPr/>
            </w:pPr>
            <w:hyperlink r:id="rId2">
              <w:r>
                <w:rPr>
                  <w:rStyle w:val="InternetLink"/>
                </w:rPr>
                <w:t xml:space="preserve">Business Combination Agreement, dated as of May  25, 2023, by and among Bridgetown Holdings Limited, PubCo, Gemini Merger Sub 1, Gemini Merger Sub 2 and CompareAsia Group Capital Limited. </w:t>
              </w:r>
            </w:hyperlink>
          </w:p>
        </w:tc>
        <w:tc>
          <w:tcPr>
            <w:tcW w:w="191"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79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1" w:type="dxa"/>
            <w:tcBorders/>
          </w:tcPr>
          <w:p>
            <w:pPr>
              <w:pStyle w:val="TableContents"/>
              <w:bidi w:val="0"/>
              <w:spacing w:before="0" w:after="283"/>
              <w:jc w:val="right"/>
              <w:rPr/>
            </w:pPr>
            <w:r>
              <w:rPr/>
              <w:t>001-39623</w:t>
            </w:r>
          </w:p>
        </w:tc>
        <w:tc>
          <w:tcPr>
            <w:tcW w:w="59"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t>May 25, 2023</w:t>
            </w:r>
          </w:p>
        </w:tc>
      </w:tr>
      <w:tr>
        <w:trPr/>
        <w:tc>
          <w:tcPr>
            <w:tcW w:w="585" w:type="dxa"/>
            <w:tcBorders/>
          </w:tcPr>
          <w:p>
            <w:pPr>
              <w:pStyle w:val="TableContents"/>
              <w:bidi w:val="0"/>
              <w:spacing w:before="0" w:after="283"/>
              <w:jc w:val="left"/>
              <w:rPr/>
            </w:pPr>
            <w:r>
              <w:rPr/>
              <w:t>3.1</w:t>
            </w:r>
          </w:p>
        </w:tc>
        <w:tc>
          <w:tcPr>
            <w:tcW w:w="191" w:type="dxa"/>
            <w:tcBorders/>
            <w:vAlign w:val="bottom"/>
          </w:tcPr>
          <w:p>
            <w:pPr>
              <w:pStyle w:val="TableContents"/>
              <w:bidi w:val="0"/>
              <w:spacing w:before="0" w:after="283"/>
              <w:jc w:val="left"/>
              <w:rPr/>
            </w:pPr>
            <w:r>
              <w:rPr/>
              <w:t>  </w:t>
            </w:r>
          </w:p>
        </w:tc>
        <w:tc>
          <w:tcPr>
            <w:tcW w:w="3569" w:type="dxa"/>
            <w:tcBorders/>
          </w:tcPr>
          <w:p>
            <w:pPr>
              <w:pStyle w:val="TableContents"/>
              <w:bidi w:val="0"/>
              <w:spacing w:before="0" w:after="283"/>
              <w:jc w:val="left"/>
              <w:rPr/>
            </w:pPr>
            <w:hyperlink r:id="rId3">
              <w:r>
                <w:rPr>
                  <w:rStyle w:val="InternetLink"/>
                </w:rPr>
                <w:t xml:space="preserve">Second Amended and Restated Memorandum and Articles of Association of PubCo </w:t>
              </w:r>
            </w:hyperlink>
          </w:p>
        </w:tc>
        <w:tc>
          <w:tcPr>
            <w:tcW w:w="191"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79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4"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1" w:type="dxa"/>
            <w:tcBorders/>
          </w:tcPr>
          <w:p>
            <w:pPr>
              <w:pStyle w:val="TableContents"/>
              <w:bidi w:val="0"/>
              <w:spacing w:before="0" w:after="283"/>
              <w:jc w:val="right"/>
              <w:rPr/>
            </w:pPr>
            <w:r>
              <w:rPr/>
              <w:t>001-41838</w:t>
            </w:r>
          </w:p>
        </w:tc>
        <w:tc>
          <w:tcPr>
            <w:tcW w:w="59"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1.1</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t>October 20, 2023</w:t>
            </w:r>
          </w:p>
        </w:tc>
      </w:tr>
      <w:tr>
        <w:trPr/>
        <w:tc>
          <w:tcPr>
            <w:tcW w:w="585" w:type="dxa"/>
            <w:tcBorders/>
          </w:tcPr>
          <w:p>
            <w:pPr>
              <w:pStyle w:val="TableContents"/>
              <w:bidi w:val="0"/>
              <w:spacing w:before="0" w:after="283"/>
              <w:jc w:val="left"/>
              <w:rPr/>
            </w:pPr>
            <w:r>
              <w:rPr/>
              <w:t>5.1</w:t>
            </w:r>
          </w:p>
        </w:tc>
        <w:tc>
          <w:tcPr>
            <w:tcW w:w="191" w:type="dxa"/>
            <w:tcBorders/>
            <w:vAlign w:val="bottom"/>
          </w:tcPr>
          <w:p>
            <w:pPr>
              <w:pStyle w:val="TableContents"/>
              <w:bidi w:val="0"/>
              <w:spacing w:before="0" w:after="283"/>
              <w:jc w:val="left"/>
              <w:rPr/>
            </w:pPr>
            <w:r>
              <w:rPr/>
              <w:t>  </w:t>
            </w:r>
          </w:p>
        </w:tc>
        <w:tc>
          <w:tcPr>
            <w:tcW w:w="3569" w:type="dxa"/>
            <w:tcBorders/>
          </w:tcPr>
          <w:p>
            <w:pPr>
              <w:pStyle w:val="TableContents"/>
              <w:bidi w:val="0"/>
              <w:spacing w:before="0" w:after="283"/>
              <w:jc w:val="left"/>
              <w:rPr/>
            </w:pPr>
            <w:hyperlink w:anchor="d553933dex51.htm">
              <w:r>
                <w:rPr>
                  <w:rStyle w:val="InternetLink"/>
                </w:rPr>
                <w:t xml:space="preserve">Opinion of Walkers (Singapore) Limited Liability Partnership as to validity of PubCo Class A Ordinary Shares and certain PubCo Warrants. </w:t>
              </w:r>
            </w:hyperlink>
          </w:p>
        </w:tc>
        <w:tc>
          <w:tcPr>
            <w:tcW w:w="191"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pPr>
            <w:r>
              <w:rPr/>
              <w:t> </w:t>
            </w:r>
          </w:p>
        </w:tc>
        <w:tc>
          <w:tcPr>
            <w:tcW w:w="795" w:type="dxa"/>
            <w:tcBorders/>
          </w:tcPr>
          <w:p>
            <w:pPr>
              <w:pStyle w:val="TableContents"/>
              <w:bidi w:val="0"/>
              <w:spacing w:before="0" w:after="283"/>
              <w:jc w:val="right"/>
              <w:rPr/>
            </w:pPr>
            <w:r>
              <w:rPr/>
              <w:t>X</w:t>
            </w:r>
          </w:p>
        </w:tc>
        <w:tc>
          <w:tcPr>
            <w:tcW w:w="60" w:type="dxa"/>
            <w:tcBorders/>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0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41"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67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83"/>
        <w:gridCol w:w="188"/>
        <w:gridCol w:w="3619"/>
        <w:gridCol w:w="188"/>
        <w:gridCol w:w="487"/>
        <w:gridCol w:w="488"/>
        <w:gridCol w:w="60"/>
        <w:gridCol w:w="188"/>
        <w:gridCol w:w="89"/>
        <w:gridCol w:w="503"/>
        <w:gridCol w:w="60"/>
        <w:gridCol w:w="188"/>
        <w:gridCol w:w="60"/>
        <w:gridCol w:w="779"/>
        <w:gridCol w:w="60"/>
        <w:gridCol w:w="187"/>
        <w:gridCol w:w="92"/>
        <w:gridCol w:w="694"/>
        <w:gridCol w:w="60"/>
        <w:gridCol w:w="188"/>
        <w:gridCol w:w="1444"/>
      </w:tblGrid>
      <w:tr>
        <w:trPr/>
        <w:tc>
          <w:tcPr>
            <w:tcW w:w="58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58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6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404" w:type="dxa"/>
            <w:gridSpan w:val="13"/>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r>
      <w:tr>
        <w:trPr/>
        <w:tc>
          <w:tcPr>
            <w:tcW w:w="58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88" w:type="dxa"/>
            <w:tcBorders/>
            <w:vAlign w:val="bottom"/>
          </w:tcPr>
          <w:p>
            <w:pPr>
              <w:pStyle w:val="TableContents"/>
              <w:bidi w:val="0"/>
              <w:spacing w:before="0" w:after="283"/>
              <w:jc w:val="left"/>
              <w:rPr/>
            </w:pPr>
            <w:r>
              <w:rPr/>
              <w:t>  </w:t>
            </w:r>
          </w:p>
        </w:tc>
        <w:tc>
          <w:tcPr>
            <w:tcW w:w="36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88"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c>
          <w:tcPr>
            <w:tcW w:w="583" w:type="dxa"/>
            <w:tcBorders/>
          </w:tcPr>
          <w:p>
            <w:pPr>
              <w:pStyle w:val="TableContents"/>
              <w:bidi w:val="0"/>
              <w:spacing w:before="0" w:after="283"/>
              <w:jc w:val="left"/>
              <w:rPr/>
            </w:pPr>
            <w:r>
              <w:rPr/>
              <w:t>5.2</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4">
              <w:r>
                <w:rPr>
                  <w:rStyle w:val="InternetLink"/>
                </w:rPr>
                <w:t>Opinion of Kirkland &amp; Ellis as to validity of certain PubCo Warrants.</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0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9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sz w:val="4"/>
                <w:szCs w:val="4"/>
              </w:rPr>
            </w:pPr>
            <w:r>
              <w:rPr>
                <w:sz w:val="4"/>
                <w:szCs w:val="4"/>
              </w:rPr>
            </w:r>
          </w:p>
        </w:tc>
      </w:tr>
      <w:tr>
        <w:trPr/>
        <w:tc>
          <w:tcPr>
            <w:tcW w:w="583" w:type="dxa"/>
            <w:tcBorders/>
          </w:tcPr>
          <w:p>
            <w:pPr>
              <w:pStyle w:val="TableContents"/>
              <w:bidi w:val="0"/>
              <w:spacing w:before="0" w:after="283"/>
              <w:jc w:val="left"/>
              <w:rPr/>
            </w:pPr>
            <w:r>
              <w:rPr/>
              <w:t>10.1+</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5">
              <w:r>
                <w:rPr>
                  <w:rStyle w:val="InternetLink"/>
                </w:rPr>
                <w:t xml:space="preserve">Company Holders Support and Deed, dated as of May  25, 2023, by and among Bridgetown Holdings Limited, PubCo, CompareAsia Group Capital Limited and the other parties named therein.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001-39623</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May 25, 2023</w:t>
            </w:r>
          </w:p>
        </w:tc>
      </w:tr>
      <w:tr>
        <w:trPr/>
        <w:tc>
          <w:tcPr>
            <w:tcW w:w="583" w:type="dxa"/>
            <w:tcBorders/>
          </w:tcPr>
          <w:p>
            <w:pPr>
              <w:pStyle w:val="TableContents"/>
              <w:bidi w:val="0"/>
              <w:spacing w:before="0" w:after="283"/>
              <w:jc w:val="left"/>
              <w:rPr/>
            </w:pPr>
            <w:r>
              <w:rPr/>
              <w:t>10.2+</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6">
              <w:r>
                <w:rPr>
                  <w:rStyle w:val="InternetLink"/>
                </w:rPr>
                <w:t>Sponsor Support and Lock-Up Agreement and Deed, dated as of May  25, 2023, by and among Bridgetown Holdings Limited, PubCo and CompareAsia Group Capital Limited.</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001-39623</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10.2</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May 25, 2023</w:t>
            </w:r>
          </w:p>
        </w:tc>
      </w:tr>
      <w:tr>
        <w:trPr/>
        <w:tc>
          <w:tcPr>
            <w:tcW w:w="583" w:type="dxa"/>
            <w:tcBorders/>
          </w:tcPr>
          <w:p>
            <w:pPr>
              <w:pStyle w:val="TableContents"/>
              <w:bidi w:val="0"/>
              <w:spacing w:before="0" w:after="283"/>
              <w:jc w:val="left"/>
              <w:rPr/>
            </w:pPr>
            <w:r>
              <w:rPr/>
              <w:t>10.3</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7">
              <w:r>
                <w:rPr>
                  <w:rStyle w:val="InternetLink"/>
                </w:rPr>
                <w:t>Registration Rights Agreement, dated as of May  25, 2023, by and among Bridgetown Holdings Limited, Bridgetown LLC, PubCo and the undersigned parties listed as Holders thereto.</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001-39623</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10.3</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May 25, 2023</w:t>
            </w:r>
          </w:p>
        </w:tc>
      </w:tr>
      <w:tr>
        <w:trPr/>
        <w:tc>
          <w:tcPr>
            <w:tcW w:w="583" w:type="dxa"/>
            <w:tcBorders/>
          </w:tcPr>
          <w:p>
            <w:pPr>
              <w:pStyle w:val="TableContents"/>
              <w:bidi w:val="0"/>
              <w:spacing w:before="0" w:after="283"/>
              <w:jc w:val="left"/>
              <w:rPr/>
            </w:pPr>
            <w:r>
              <w:rPr/>
              <w:t>10.4</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8">
              <w:r>
                <w:rPr>
                  <w:rStyle w:val="InternetLink"/>
                </w:rPr>
                <w:t xml:space="preserve">Assignment, Assumption and Amendment Agreement, dated as of May 25, 2023, by and among Continental Stock Transfer  &amp; Trust Company, PubCo and Bridgetown Holdings Limited.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001-39623</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10.4</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May 25, 2023</w:t>
            </w:r>
          </w:p>
        </w:tc>
      </w:tr>
      <w:tr>
        <w:trPr/>
        <w:tc>
          <w:tcPr>
            <w:tcW w:w="583" w:type="dxa"/>
            <w:tcBorders/>
          </w:tcPr>
          <w:p>
            <w:pPr>
              <w:pStyle w:val="TableContents"/>
              <w:bidi w:val="0"/>
              <w:spacing w:before="0" w:after="283"/>
              <w:jc w:val="left"/>
              <w:rPr/>
            </w:pPr>
            <w:r>
              <w:rPr/>
              <w:t>10.5</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9">
              <w:r>
                <w:rPr>
                  <w:rStyle w:val="InternetLink"/>
                </w:rPr>
                <w:t>PubCo Class A Warrant Instrument.</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001-41838</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2.2</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0"/>
              <w:jc w:val="right"/>
              <w:rPr>
                <w:rFonts w:ascii="Times New Roman" w:hAnsi="Times New Roman"/>
                <w:sz w:val="20"/>
              </w:rPr>
            </w:pPr>
            <w:r>
              <w:rPr>
                <w:rFonts w:ascii="Times New Roman" w:hAnsi="Times New Roman"/>
                <w:sz w:val="20"/>
              </w:rPr>
              <w:t>October 20,</w:t>
            </w:r>
          </w:p>
          <w:p>
            <w:pPr>
              <w:pStyle w:val="TableContents"/>
              <w:bidi w:val="0"/>
              <w:spacing w:before="0" w:after="20"/>
              <w:jc w:val="right"/>
              <w:rPr>
                <w:rFonts w:ascii="Times New Roman" w:hAnsi="Times New Roman"/>
                <w:sz w:val="20"/>
              </w:rPr>
            </w:pPr>
            <w:r>
              <w:rPr>
                <w:rFonts w:ascii="Times New Roman" w:hAnsi="Times New Roman"/>
                <w:sz w:val="20"/>
              </w:rPr>
              <w:t>2023</w:t>
            </w:r>
          </w:p>
        </w:tc>
      </w:tr>
      <w:tr>
        <w:trPr/>
        <w:tc>
          <w:tcPr>
            <w:tcW w:w="583" w:type="dxa"/>
            <w:tcBorders/>
          </w:tcPr>
          <w:p>
            <w:pPr>
              <w:pStyle w:val="TableContents"/>
              <w:bidi w:val="0"/>
              <w:spacing w:before="0" w:after="283"/>
              <w:jc w:val="left"/>
              <w:rPr/>
            </w:pPr>
            <w:r>
              <w:rPr/>
              <w:t>10.6</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0">
              <w:r>
                <w:rPr>
                  <w:rStyle w:val="InternetLink"/>
                </w:rPr>
                <w:t xml:space="preserve">PubCo Class A Warrant Agreement.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001-41838</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2.3</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0"/>
              <w:jc w:val="right"/>
              <w:rPr>
                <w:rFonts w:ascii="Times New Roman" w:hAnsi="Times New Roman"/>
                <w:sz w:val="20"/>
              </w:rPr>
            </w:pPr>
            <w:r>
              <w:rPr>
                <w:rFonts w:ascii="Times New Roman" w:hAnsi="Times New Roman"/>
                <w:sz w:val="20"/>
              </w:rPr>
              <w:t>October 20,</w:t>
            </w:r>
          </w:p>
          <w:p>
            <w:pPr>
              <w:pStyle w:val="TableContents"/>
              <w:bidi w:val="0"/>
              <w:spacing w:before="0" w:after="20"/>
              <w:jc w:val="right"/>
              <w:rPr>
                <w:rFonts w:ascii="Times New Roman" w:hAnsi="Times New Roman"/>
                <w:sz w:val="20"/>
              </w:rPr>
            </w:pPr>
            <w:r>
              <w:rPr>
                <w:rFonts w:ascii="Times New Roman" w:hAnsi="Times New Roman"/>
                <w:sz w:val="20"/>
              </w:rPr>
              <w:t>2023</w:t>
            </w:r>
          </w:p>
        </w:tc>
      </w:tr>
      <w:tr>
        <w:trPr/>
        <w:tc>
          <w:tcPr>
            <w:tcW w:w="583" w:type="dxa"/>
            <w:tcBorders/>
          </w:tcPr>
          <w:p>
            <w:pPr>
              <w:pStyle w:val="TableContents"/>
              <w:bidi w:val="0"/>
              <w:spacing w:before="0" w:after="283"/>
              <w:jc w:val="left"/>
              <w:rPr/>
            </w:pPr>
            <w:r>
              <w:rPr/>
              <w:t>10.7</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1">
              <w:r>
                <w:rPr>
                  <w:rStyle w:val="InternetLink"/>
                </w:rPr>
                <w:t xml:space="preserve">2023 Equity Incentive Plan.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001-41838</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4.5</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0"/>
              <w:jc w:val="right"/>
              <w:rPr>
                <w:rFonts w:ascii="Times New Roman" w:hAnsi="Times New Roman"/>
                <w:sz w:val="20"/>
              </w:rPr>
            </w:pPr>
            <w:r>
              <w:rPr>
                <w:rFonts w:ascii="Times New Roman" w:hAnsi="Times New Roman"/>
                <w:sz w:val="20"/>
              </w:rPr>
              <w:t>October 20,</w:t>
            </w:r>
          </w:p>
          <w:p>
            <w:pPr>
              <w:pStyle w:val="TableContents"/>
              <w:bidi w:val="0"/>
              <w:spacing w:before="0" w:after="20"/>
              <w:jc w:val="right"/>
              <w:rPr>
                <w:rFonts w:ascii="Times New Roman" w:hAnsi="Times New Roman"/>
                <w:sz w:val="20"/>
              </w:rPr>
            </w:pPr>
            <w:r>
              <w:rPr>
                <w:rFonts w:ascii="Times New Roman" w:hAnsi="Times New Roman"/>
                <w:sz w:val="20"/>
              </w:rPr>
              <w:t>2023</w:t>
            </w:r>
          </w:p>
        </w:tc>
      </w:tr>
      <w:tr>
        <w:trPr/>
        <w:tc>
          <w:tcPr>
            <w:tcW w:w="583" w:type="dxa"/>
            <w:tcBorders/>
          </w:tcPr>
          <w:p>
            <w:pPr>
              <w:pStyle w:val="TableContents"/>
              <w:bidi w:val="0"/>
              <w:spacing w:before="0" w:after="283"/>
              <w:jc w:val="left"/>
              <w:rPr/>
            </w:pPr>
            <w:r>
              <w:rPr/>
              <w:t>10.8</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2">
              <w:r>
                <w:rPr>
                  <w:rStyle w:val="InternetLink"/>
                </w:rPr>
                <w:t xml:space="preserve">Form of Indemnification Agreement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001-41838</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4.6</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October 20, 2023</w:t>
            </w:r>
          </w:p>
        </w:tc>
      </w:tr>
      <w:tr>
        <w:trPr/>
        <w:tc>
          <w:tcPr>
            <w:tcW w:w="583" w:type="dxa"/>
            <w:tcBorders/>
          </w:tcPr>
          <w:p>
            <w:pPr>
              <w:pStyle w:val="TableContents"/>
              <w:bidi w:val="0"/>
              <w:spacing w:before="0" w:after="283"/>
              <w:jc w:val="left"/>
              <w:rPr/>
            </w:pPr>
            <w:r>
              <w:rPr/>
              <w:t>21.1</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3">
              <w:r>
                <w:rPr>
                  <w:rStyle w:val="InternetLink"/>
                </w:rPr>
                <w:t xml:space="preserve">List of subsidiaries of PubCo.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03" w:type="dxa"/>
            <w:tcBorders/>
          </w:tcPr>
          <w:p>
            <w:pPr>
              <w:pStyle w:val="TableContents"/>
              <w:bidi w:val="0"/>
              <w:spacing w:before="0" w:after="283"/>
              <w:jc w:val="right"/>
              <w:rPr/>
            </w:pPr>
            <w:r>
              <w:rPr/>
              <w:t>20-F</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79" w:type="dxa"/>
            <w:tcBorders/>
          </w:tcPr>
          <w:p>
            <w:pPr>
              <w:pStyle w:val="TableContents"/>
              <w:bidi w:val="0"/>
              <w:spacing w:before="0" w:after="283"/>
              <w:jc w:val="right"/>
              <w:rPr/>
            </w:pPr>
            <w:r>
              <w:rPr/>
              <w:t>001-41838</w:t>
            </w:r>
          </w:p>
        </w:tc>
        <w:tc>
          <w:tcPr>
            <w:tcW w:w="60" w:type="dxa"/>
            <w:tcBorders/>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94" w:type="dxa"/>
            <w:tcBorders/>
          </w:tcPr>
          <w:p>
            <w:pPr>
              <w:pStyle w:val="TableContents"/>
              <w:bidi w:val="0"/>
              <w:spacing w:before="0" w:after="283"/>
              <w:jc w:val="right"/>
              <w:rPr/>
            </w:pPr>
            <w:r>
              <w:rPr/>
              <w:t>8.1</w:t>
            </w:r>
          </w:p>
        </w:tc>
        <w:tc>
          <w:tcPr>
            <w:tcW w:w="60" w:type="dxa"/>
            <w:tcBorders/>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right"/>
              <w:rPr/>
            </w:pPr>
            <w:r>
              <w:rPr/>
              <w:t>October 20, 2023</w:t>
            </w:r>
          </w:p>
        </w:tc>
      </w:tr>
      <w:tr>
        <w:trPr/>
        <w:tc>
          <w:tcPr>
            <w:tcW w:w="583" w:type="dxa"/>
            <w:tcBorders/>
          </w:tcPr>
          <w:p>
            <w:pPr>
              <w:pStyle w:val="TableContents"/>
              <w:bidi w:val="0"/>
              <w:spacing w:before="0" w:after="283"/>
              <w:jc w:val="left"/>
              <w:rPr/>
            </w:pPr>
            <w:r>
              <w:rPr/>
              <w:t>23.1</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4">
              <w:r>
                <w:rPr>
                  <w:rStyle w:val="InternetLink"/>
                </w:rPr>
                <w:t xml:space="preserve">Consent of WithumSmith+Brown, PC.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0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9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sz w:val="4"/>
                <w:szCs w:val="4"/>
              </w:rPr>
            </w:pPr>
            <w:r>
              <w:rPr>
                <w:sz w:val="4"/>
                <w:szCs w:val="4"/>
              </w:rPr>
            </w:r>
          </w:p>
        </w:tc>
      </w:tr>
      <w:tr>
        <w:trPr/>
        <w:tc>
          <w:tcPr>
            <w:tcW w:w="583" w:type="dxa"/>
            <w:tcBorders/>
          </w:tcPr>
          <w:p>
            <w:pPr>
              <w:pStyle w:val="TableContents"/>
              <w:bidi w:val="0"/>
              <w:spacing w:before="0" w:after="283"/>
              <w:jc w:val="left"/>
              <w:rPr/>
            </w:pPr>
            <w:r>
              <w:rPr/>
              <w:t>23.2</w:t>
            </w:r>
          </w:p>
        </w:tc>
        <w:tc>
          <w:tcPr>
            <w:tcW w:w="188"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hyperlink r:id="rId15">
              <w:r>
                <w:rPr>
                  <w:rStyle w:val="InternetLink"/>
                </w:rPr>
                <w:t xml:space="preserve">Consent of Ernst &amp; Young. </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0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9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sz w:val="4"/>
                <w:szCs w:val="4"/>
              </w:rPr>
            </w:pPr>
            <w:r>
              <w:rPr>
                <w:sz w:val="4"/>
                <w:szCs w:val="4"/>
              </w:rPr>
            </w:r>
          </w:p>
        </w:tc>
      </w:tr>
      <w:tr>
        <w:trPr/>
        <w:tc>
          <w:tcPr>
            <w:tcW w:w="583" w:type="dxa"/>
            <w:tcBorders/>
          </w:tcPr>
          <w:p>
            <w:pPr>
              <w:pStyle w:val="TableContents"/>
              <w:bidi w:val="0"/>
              <w:spacing w:before="0" w:after="283"/>
              <w:jc w:val="left"/>
              <w:rPr/>
            </w:pPr>
            <w:r>
              <w:rPr/>
              <w:t>107</w:t>
            </w:r>
          </w:p>
        </w:tc>
        <w:tc>
          <w:tcPr>
            <w:tcW w:w="188" w:type="dxa"/>
            <w:tcBorders/>
            <w:vAlign w:val="bottom"/>
          </w:tcPr>
          <w:p>
            <w:pPr>
              <w:pStyle w:val="TableContents"/>
              <w:bidi w:val="0"/>
              <w:spacing w:before="0" w:after="283"/>
              <w:jc w:val="left"/>
              <w:rPr/>
            </w:pPr>
            <w:r>
              <w:rPr/>
              <w:t>  </w:t>
            </w:r>
          </w:p>
        </w:tc>
        <w:tc>
          <w:tcPr>
            <w:tcW w:w="3619" w:type="dxa"/>
            <w:tcBorders/>
            <w:vAlign w:val="bottom"/>
          </w:tcPr>
          <w:p>
            <w:pPr>
              <w:pStyle w:val="TableContents"/>
              <w:bidi w:val="0"/>
              <w:spacing w:before="0" w:after="283"/>
              <w:jc w:val="left"/>
              <w:rPr/>
            </w:pPr>
            <w:hyperlink r:id="rId16">
              <w:r>
                <w:rPr>
                  <w:rStyle w:val="InternetLink"/>
                </w:rPr>
                <w:t>Filing Fee Table.</w:t>
              </w:r>
            </w:hyperlink>
          </w:p>
        </w:tc>
        <w:tc>
          <w:tcPr>
            <w:tcW w:w="188" w:type="dxa"/>
            <w:tcBorders/>
            <w:vAlign w:val="bottom"/>
          </w:tcPr>
          <w:p>
            <w:pPr>
              <w:pStyle w:val="TableContents"/>
              <w:bidi w:val="0"/>
              <w:spacing w:before="0" w:after="283"/>
              <w:jc w:val="left"/>
              <w:rPr/>
            </w:pPr>
            <w:r>
              <w:rPr/>
              <w:t>  </w:t>
            </w:r>
          </w:p>
        </w:tc>
        <w:tc>
          <w:tcPr>
            <w:tcW w:w="487" w:type="dxa"/>
            <w:tcBorders/>
          </w:tcPr>
          <w:p>
            <w:pPr>
              <w:pStyle w:val="TableContents"/>
              <w:bidi w:val="0"/>
              <w:spacing w:before="0" w:after="283"/>
              <w:jc w:val="left"/>
              <w:rPr>
                <w:sz w:val="4"/>
                <w:szCs w:val="4"/>
              </w:rPr>
            </w:pPr>
            <w:r>
              <w:rPr>
                <w:sz w:val="4"/>
                <w:szCs w:val="4"/>
              </w:rPr>
            </w:r>
          </w:p>
        </w:tc>
        <w:tc>
          <w:tcPr>
            <w:tcW w:w="48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0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9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398"/>
        <w:gridCol w:w="9807"/>
      </w:tblGrid>
      <w:tr>
        <w:trPr/>
        <w:tc>
          <w:tcPr>
            <w:tcW w:w="398" w:type="dxa"/>
            <w:tcBorders/>
          </w:tcPr>
          <w:p>
            <w:pPr>
              <w:pStyle w:val="TableContents"/>
              <w:bidi w:val="0"/>
              <w:spacing w:before="0" w:after="283"/>
              <w:jc w:val="left"/>
              <w:rPr/>
            </w:pPr>
            <w:r>
              <w:rPr/>
              <w:t></w:t>
            </w:r>
          </w:p>
        </w:tc>
        <w:tc>
          <w:tcPr>
            <w:tcW w:w="980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Schedules and annexes have been omitted.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Registrant is relying on Rule 430B: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F-1 to be signed on its behalf by the undersigned, thereunto duly authorized, in Singapore, on January 22,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0"/>
        <w:gridCol w:w="3350"/>
      </w:tblGrid>
      <w:tr>
        <w:trPr/>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MoneyHero Limited</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Shaun Kraft</w:t>
            </w:r>
          </w:p>
        </w:tc>
      </w:tr>
      <w:tr>
        <w:trPr/>
        <w:tc>
          <w:tcPr>
            <w:tcW w:w="67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Shaun Kraft</w:t>
            </w:r>
          </w:p>
        </w:tc>
      </w:tr>
      <w:tr>
        <w:trPr/>
        <w:tc>
          <w:tcPr>
            <w:tcW w:w="67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Chief Financial Officer and 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4"/>
        <w:gridCol w:w="2959"/>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29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Prashant Aggarwal</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Chief Executive Officer and Director (principal executive officer)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0"/>
              <w:jc w:val="center"/>
              <w:rPr>
                <w:rFonts w:ascii="Times New Roman" w:hAnsi="Times New Roman"/>
                <w:sz w:val="20"/>
              </w:rPr>
            </w:pPr>
            <w:r>
              <w:rPr>
                <w:rFonts w:ascii="Times New Roman" w:hAnsi="Times New Roman"/>
                <w:sz w:val="20"/>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Shaun Kraft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Shaun Kraft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Chief Financial Officer and Chief Operating Officer (principal financial officer and principal accounting officer)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0"/>
              <w:jc w:val="center"/>
              <w:rPr>
                <w:rFonts w:ascii="Times New Roman" w:hAnsi="Times New Roman"/>
                <w:sz w:val="20"/>
              </w:rPr>
            </w:pPr>
            <w:r>
              <w:rPr>
                <w:rFonts w:ascii="Times New Roman" w:hAnsi="Times New Roman"/>
                <w:sz w:val="20"/>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Kenneth Chan</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pPr>
            <w:r>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Derek Fong</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pPr>
            <w:r>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Marc Syz</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pPr>
            <w:r>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Susanna Lee</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pPr>
            <w:r>
              <w:rPr/>
              <w:t>January 22, 2024</w:t>
            </w:r>
          </w:p>
        </w:tc>
      </w:tr>
      <w:tr>
        <w:trPr>
          <w:trHeight w:val="24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Daniel Wang</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pPr>
            <w:r>
              <w:rPr/>
              <w:t>January 22, 2024</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3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Shaun Kraft</w:t>
            </w:r>
          </w:p>
        </w:tc>
      </w:tr>
      <w:tr>
        <w:trPr/>
        <w:tc>
          <w:tcPr>
            <w:tcW w:w="4082" w:type="dxa"/>
            <w:gridSpan w:val="3"/>
            <w:tcBorders/>
            <w:vAlign w:val="bottom"/>
          </w:tcPr>
          <w:p>
            <w:pPr>
              <w:pStyle w:val="TableContents"/>
              <w:bidi w:val="0"/>
              <w:spacing w:before="0" w:after="283"/>
              <w:jc w:val="left"/>
              <w:rPr>
                <w:b/>
              </w:rPr>
            </w:pPr>
            <w:r>
              <w:rPr>
                <w:b/>
              </w:rPr>
              <w:t>Shaun Kraft</w:t>
            </w:r>
          </w:p>
        </w:tc>
      </w:tr>
      <w:tr>
        <w:trPr/>
        <w:tc>
          <w:tcPr>
            <w:tcW w:w="4082" w:type="dxa"/>
            <w:gridSpan w:val="3"/>
            <w:tcBorders/>
          </w:tcPr>
          <w:p>
            <w:pPr>
              <w:pStyle w:val="TableContents"/>
              <w:bidi w:val="0"/>
              <w:spacing w:before="0" w:after="283"/>
              <w:jc w:val="left"/>
              <w:rPr/>
            </w:pPr>
            <w:r>
              <w:rPr/>
              <w:t>As 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of the Securities Act of 1933, the undersigned, the duly authorized representative in the United States of MoneyHero Limited has signed this registration statement or amendment thereto in New York on January 22,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Authorized U.S. Representative</w:t>
            </w:r>
          </w:p>
          <w:p>
            <w:pPr>
              <w:pStyle w:val="TableContents"/>
              <w:bidi w:val="0"/>
              <w:spacing w:before="0" w:after="20"/>
              <w:jc w:val="left"/>
              <w:rPr>
                <w:rFonts w:ascii="Times New Roman" w:hAnsi="Times New Roman"/>
                <w:b/>
                <w:sz w:val="20"/>
              </w:rPr>
            </w:pPr>
            <w:r>
              <w:rPr>
                <w:rFonts w:ascii="Times New Roman" w:hAnsi="Times New Roman"/>
                <w:b/>
                <w:sz w:val="20"/>
              </w:rPr>
              <w:t>Cogency Global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Colleen A. De Vries</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Colleen A. De Vries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Senior Vice President on behalf of Cogency Global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2" w:name="d553933dex51.htm"/>
      <w:bookmarkStart w:id="3" w:name="ksd553933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478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647825" cy="3714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8"/>
        <w:gridCol w:w="125"/>
        <w:gridCol w:w="4862"/>
      </w:tblGrid>
      <w:tr>
        <w:trPr/>
        <w:tc>
          <w:tcPr>
            <w:tcW w:w="521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pPr>
            <w:r>
              <w:rPr/>
              <w:t>27 October 2023</w:t>
            </w:r>
          </w:p>
        </w:tc>
        <w:tc>
          <w:tcPr>
            <w:tcW w:w="125" w:type="dxa"/>
            <w:tcBorders/>
            <w:vAlign w:val="bottom"/>
          </w:tcPr>
          <w:p>
            <w:pPr>
              <w:pStyle w:val="TableContents"/>
              <w:bidi w:val="0"/>
              <w:spacing w:before="0" w:after="283"/>
              <w:jc w:val="left"/>
              <w:rPr/>
            </w:pPr>
            <w:r>
              <w:rPr/>
              <w:t>  </w:t>
            </w:r>
          </w:p>
        </w:tc>
        <w:tc>
          <w:tcPr>
            <w:tcW w:w="4862" w:type="dxa"/>
            <w:tcBorders/>
          </w:tcPr>
          <w:p>
            <w:pPr>
              <w:pStyle w:val="TableContents"/>
              <w:bidi w:val="0"/>
              <w:spacing w:before="0" w:after="283"/>
              <w:jc w:val="right"/>
              <w:rPr/>
            </w:pPr>
            <w:r>
              <w:rPr/>
              <w:t>Our Ref: JT/MK/MM/C5509-S14602</w:t>
            </w:r>
          </w:p>
        </w:tc>
      </w:tr>
      <w:tr>
        <w:trPr>
          <w:trHeight w:val="120" w:hRule="atLeast"/>
        </w:trPr>
        <w:tc>
          <w:tcPr>
            <w:tcW w:w="5218" w:type="dxa"/>
            <w:tcBorders/>
            <w:vAlign w:val="center"/>
          </w:tcPr>
          <w:p>
            <w:pPr>
              <w:pStyle w:val="TableContents"/>
              <w:bidi w:val="0"/>
              <w:spacing w:before="0" w:after="283"/>
              <w:jc w:val="left"/>
              <w:rPr>
                <w:sz w:val="4"/>
                <w:szCs w:val="4"/>
              </w:rPr>
            </w:pPr>
            <w:r>
              <w:rPr>
                <w:sz w:val="4"/>
                <w:szCs w:val="4"/>
              </w:rPr>
            </w:r>
          </w:p>
        </w:tc>
        <w:tc>
          <w:tcPr>
            <w:tcW w:w="4987" w:type="dxa"/>
            <w:gridSpan w:val="2"/>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0"/>
              <w:jc w:val="left"/>
              <w:rPr>
                <w:rFonts w:ascii="Times New Roman" w:hAnsi="Times New Roman"/>
                <w:b/>
                <w:sz w:val="20"/>
              </w:rPr>
            </w:pPr>
            <w:r>
              <w:rPr>
                <w:rFonts w:ascii="Times New Roman" w:hAnsi="Times New Roman"/>
                <w:b/>
                <w:sz w:val="20"/>
              </w:rPr>
              <w:t>MoneyHero Limited</w:t>
            </w:r>
          </w:p>
          <w:p>
            <w:pPr>
              <w:pStyle w:val="TableContents"/>
              <w:bidi w:val="0"/>
              <w:spacing w:before="0" w:after="0"/>
              <w:jc w:val="left"/>
              <w:rPr>
                <w:rFonts w:ascii="Times New Roman" w:hAnsi="Times New Roman"/>
                <w:sz w:val="20"/>
              </w:rPr>
            </w:pPr>
            <w:r>
              <w:rPr>
                <w:rFonts w:ascii="Times New Roman" w:hAnsi="Times New Roman"/>
                <w:sz w:val="20"/>
              </w:rPr>
              <w:t>190 Elgin Avenue</w:t>
            </w:r>
          </w:p>
          <w:p>
            <w:pPr>
              <w:pStyle w:val="TableContents"/>
              <w:bidi w:val="0"/>
              <w:spacing w:before="0" w:after="0"/>
              <w:jc w:val="left"/>
              <w:rPr>
                <w:rFonts w:ascii="Times New Roman" w:hAnsi="Times New Roman"/>
                <w:sz w:val="20"/>
              </w:rPr>
            </w:pPr>
            <w:r>
              <w:rPr>
                <w:rFonts w:ascii="Times New Roman" w:hAnsi="Times New Roman"/>
                <w:sz w:val="20"/>
              </w:rPr>
              <w:t>George Town</w:t>
            </w:r>
          </w:p>
          <w:p>
            <w:pPr>
              <w:pStyle w:val="TableContents"/>
              <w:bidi w:val="0"/>
              <w:spacing w:before="0" w:after="0"/>
              <w:jc w:val="left"/>
              <w:rPr>
                <w:rFonts w:ascii="Times New Roman" w:hAnsi="Times New Roman"/>
                <w:sz w:val="20"/>
              </w:rPr>
            </w:pPr>
            <w:r>
              <w:rPr>
                <w:rFonts w:ascii="Times New Roman" w:hAnsi="Times New Roman"/>
                <w:sz w:val="20"/>
              </w:rPr>
              <w:t>Grand Cayman KY1-9008</w:t>
            </w:r>
          </w:p>
          <w:p>
            <w:pPr>
              <w:pStyle w:val="TableContents"/>
              <w:bidi w:val="0"/>
              <w:spacing w:before="0" w:after="20"/>
              <w:jc w:val="left"/>
              <w:rPr>
                <w:rFonts w:ascii="Times New Roman" w:hAnsi="Times New Roman"/>
                <w:sz w:val="20"/>
              </w:rPr>
            </w:pPr>
            <w:r>
              <w:rPr>
                <w:rFonts w:ascii="Times New Roman" w:hAnsi="Times New Roman"/>
                <w:sz w:val="20"/>
              </w:rPr>
              <w:t>Cayman Islands</w:t>
            </w:r>
          </w:p>
        </w:tc>
        <w:tc>
          <w:tcPr>
            <w:tcW w:w="125" w:type="dxa"/>
            <w:tcBorders/>
            <w:vAlign w:val="bottom"/>
          </w:tcPr>
          <w:p>
            <w:pPr>
              <w:pStyle w:val="TableContents"/>
              <w:bidi w:val="0"/>
              <w:spacing w:before="0" w:after="283"/>
              <w:jc w:val="left"/>
              <w:rPr/>
            </w:pPr>
            <w:r>
              <w:rPr/>
              <w:t>  </w:t>
            </w:r>
          </w:p>
        </w:tc>
        <w:tc>
          <w:tcPr>
            <w:tcW w:w="486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 or Madam </w:t>
      </w:r>
    </w:p>
    <w:p>
      <w:pPr>
        <w:pStyle w:val="TextBody"/>
        <w:bidi w:val="0"/>
        <w:spacing w:before="240" w:after="0"/>
        <w:jc w:val="left"/>
        <w:rPr>
          <w:rFonts w:ascii="Times New Roman" w:hAnsi="Times New Roman"/>
          <w:b/>
          <w:sz w:val="20"/>
        </w:rPr>
      </w:pPr>
      <w:r>
        <w:rPr>
          <w:rFonts w:ascii="Times New Roman" w:hAnsi="Times New Roman"/>
          <w:b/>
          <w:sz w:val="20"/>
        </w:rPr>
        <w:t xml:space="preserve">MONEYHERO LIMITED (FORMERLY KNOWN AS HYPHEN GROUP LIMITED) </w:t>
      </w:r>
    </w:p>
    <w:p>
      <w:pPr>
        <w:pStyle w:val="TextBody"/>
        <w:bidi w:val="0"/>
        <w:spacing w:before="120" w:after="0"/>
        <w:jc w:val="left"/>
        <w:rPr>
          <w:rFonts w:ascii="Times New Roman" w:hAnsi="Times New Roman"/>
          <w:sz w:val="20"/>
        </w:rPr>
      </w:pPr>
      <w:r>
        <w:rPr>
          <w:rFonts w:ascii="Times New Roman" w:hAnsi="Times New Roman"/>
          <w:sz w:val="20"/>
        </w:rPr>
        <w:t>We have acted as Cayman Islands legal advisers to MoneyHero Limited (the </w:t>
      </w:r>
      <w:r>
        <w:rPr>
          <w:rFonts w:ascii="Times New Roman" w:hAnsi="Times New Roman"/>
          <w:b/>
          <w:sz w:val="20"/>
        </w:rPr>
        <w:t>Company</w:t>
      </w:r>
      <w:r>
        <w:rPr>
          <w:rFonts w:ascii="Times New Roman" w:hAnsi="Times New Roman"/>
          <w:sz w:val="20"/>
        </w:rPr>
        <w:t>) in connection with the Companys registration statement on Form F-1, including all amendments or supplements thereto (the </w:t>
      </w:r>
      <w:r>
        <w:rPr>
          <w:rFonts w:ascii="Times New Roman" w:hAnsi="Times New Roman"/>
          <w:b/>
          <w:sz w:val="20"/>
        </w:rPr>
        <w:t>Registration Statement</w:t>
      </w:r>
      <w:r>
        <w:rPr>
          <w:rFonts w:ascii="Times New Roman" w:hAnsi="Times New Roman"/>
          <w:sz w:val="20"/>
        </w:rPr>
        <w:t>), filed with the Securities and Exchange Commission (the </w:t>
      </w:r>
      <w:r>
        <w:rPr>
          <w:rFonts w:ascii="Times New Roman" w:hAnsi="Times New Roman"/>
          <w:b/>
          <w:sz w:val="20"/>
        </w:rPr>
        <w:t>Commission</w:t>
      </w:r>
      <w:r>
        <w:rPr>
          <w:rFonts w:ascii="Times New Roman" w:hAnsi="Times New Roman"/>
          <w:sz w:val="20"/>
        </w:rPr>
        <w:t>) under the U.S. Securities Act of 1933, as amended, relating to the registration of (a) the issuance by the Company from time to time of up to 26,282,971 Class A ordinary shares of the Company, with par value US$0.0001 per share (the </w:t>
      </w:r>
      <w:r>
        <w:rPr>
          <w:rFonts w:ascii="Times New Roman" w:hAnsi="Times New Roman"/>
          <w:b/>
          <w:sz w:val="20"/>
        </w:rPr>
        <w:t>Primary Shares</w:t>
      </w:r>
      <w:r>
        <w:rPr>
          <w:rFonts w:ascii="Times New Roman" w:hAnsi="Times New Roman"/>
          <w:sz w:val="20"/>
        </w:rPr>
        <w:t> or </w:t>
      </w:r>
      <w:r>
        <w:rPr>
          <w:rFonts w:ascii="Times New Roman" w:hAnsi="Times New Roman"/>
          <w:b/>
          <w:sz w:val="20"/>
        </w:rPr>
        <w:t>Warrant Shares</w:t>
      </w:r>
      <w:r>
        <w:rPr>
          <w:rFonts w:ascii="Times New Roman" w:hAnsi="Times New Roman"/>
          <w:sz w:val="20"/>
        </w:rPr>
        <w:t>) upon the exercise of certain warrants to issue Class A ordinary shares of the Company, with par value US$0.0001 per share; and (b) the resale from time to time by the selling security holders named in the Registration Statement (or their donees, pledgees, transferees or other successors-in-interest) of: (i) up to 42,988,598 Class A ordinary shares of the Company, with par value US$0.0001 per share (the </w:t>
      </w:r>
      <w:r>
        <w:rPr>
          <w:rFonts w:ascii="Times New Roman" w:hAnsi="Times New Roman"/>
          <w:b/>
          <w:sz w:val="20"/>
        </w:rPr>
        <w:t>Secondary Shares</w:t>
      </w:r>
      <w:r>
        <w:rPr>
          <w:rFonts w:ascii="Times New Roman" w:hAnsi="Times New Roman"/>
          <w:sz w:val="20"/>
        </w:rPr>
        <w:t>); and (ii) up to 8,116,602 warrants to purchase Class A ordinary shares of the Company, with par value US$0.0001 per share as constituted under the Warrant Documents (as defined in Schedule 1) (the </w:t>
      </w:r>
      <w:r>
        <w:rPr>
          <w:rFonts w:ascii="Times New Roman" w:hAnsi="Times New Roman"/>
          <w:b/>
          <w:sz w:val="20"/>
        </w:rPr>
        <w:t>Warrants</w:t>
      </w:r>
      <w:r>
        <w:rPr>
          <w:rFonts w:ascii="Times New Roman" w:hAnsi="Times New Roman"/>
          <w:sz w:val="20"/>
        </w:rPr>
        <w:t xml:space="preserve">), all in connection with the business combination described in the Registration Statement. We are furnishing this opinion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giving this opinion, we have examined and relied upon the originals, copies or translations of the documents listed in Schedule 1. </w:t>
      </w:r>
    </w:p>
    <w:p>
      <w:pPr>
        <w:pStyle w:val="TextBody"/>
        <w:bidi w:val="0"/>
        <w:spacing w:before="240" w:after="0"/>
        <w:jc w:val="left"/>
        <w:rPr>
          <w:rFonts w:ascii="Times New Roman" w:hAnsi="Times New Roman"/>
          <w:sz w:val="20"/>
        </w:rPr>
      </w:pPr>
      <w:r>
        <w:rPr>
          <w:rFonts w:ascii="Times New Roman" w:hAnsi="Times New Roman"/>
          <w:sz w:val="20"/>
        </w:rPr>
        <w:t xml:space="preserve">In giving this opinion we have relied upon the assumptions set out in Schedule 2, which we have not independently verified. </w:t>
      </w:r>
    </w:p>
    <w:p>
      <w:pPr>
        <w:pStyle w:val="TextBody"/>
        <w:bidi w:val="0"/>
        <w:spacing w:before="240" w:after="0"/>
        <w:jc w:val="left"/>
        <w:rPr>
          <w:rFonts w:ascii="Times New Roman" w:hAnsi="Times New Roman"/>
          <w:sz w:val="20"/>
        </w:rPr>
      </w:pPr>
      <w:r>
        <w:rPr>
          <w:rFonts w:ascii="Times New Roman" w:hAnsi="Times New Roman"/>
          <w:sz w:val="20"/>
        </w:rPr>
        <w:t xml:space="preserve">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any of the documents cited in this opinion nor upon matters of fact or the commercial terms of the transactions the subject of this opinion.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Walkers (Singapore) Limited Liability Partnership </w:t>
      </w:r>
    </w:p>
    <w:p>
      <w:pPr>
        <w:pStyle w:val="TextBody"/>
        <w:bidi w:val="0"/>
        <w:spacing w:before="120" w:after="0"/>
        <w:jc w:val="right"/>
        <w:rPr>
          <w:rFonts w:ascii="Times New Roman" w:hAnsi="Times New Roman"/>
          <w:sz w:val="20"/>
        </w:rPr>
      </w:pPr>
      <w:r>
        <w:rPr>
          <w:rFonts w:ascii="Times New Roman" w:hAnsi="Times New Roman"/>
          <w:sz w:val="20"/>
        </w:rPr>
        <w:t xml:space="preserve">UEN/Reg. No. T09LL0833E </w:t>
      </w:r>
    </w:p>
    <w:p>
      <w:pPr>
        <w:pStyle w:val="TextBody"/>
        <w:bidi w:val="0"/>
        <w:spacing w:before="120" w:after="0"/>
        <w:jc w:val="right"/>
        <w:rPr>
          <w:rFonts w:ascii="Times New Roman" w:hAnsi="Times New Roman"/>
          <w:sz w:val="20"/>
        </w:rPr>
      </w:pPr>
      <w:r>
        <w:rPr>
          <w:rFonts w:ascii="Times New Roman" w:hAnsi="Times New Roman"/>
          <w:sz w:val="20"/>
        </w:rPr>
        <w:t xml:space="preserve">3 Church Street, 16-02 Samsung Hub, Singapore 049483 </w:t>
      </w:r>
    </w:p>
    <w:p>
      <w:pPr>
        <w:pStyle w:val="TextBody"/>
        <w:bidi w:val="0"/>
        <w:spacing w:before="120" w:after="0"/>
        <w:jc w:val="right"/>
        <w:rPr>
          <w:rFonts w:ascii="Times New Roman" w:hAnsi="Times New Roman"/>
          <w:sz w:val="20"/>
        </w:rPr>
      </w:pPr>
      <w:r>
        <w:rPr>
          <w:rFonts w:ascii="Times New Roman" w:hAnsi="Times New Roman"/>
          <w:b/>
          <w:sz w:val="20"/>
        </w:rPr>
        <w:t>T</w:t>
      </w:r>
      <w:r>
        <w:rPr>
          <w:rFonts w:ascii="Times New Roman" w:hAnsi="Times New Roman"/>
          <w:sz w:val="20"/>
        </w:rPr>
        <w:t>  +65 6595 4670  </w:t>
      </w:r>
      <w:r>
        <w:rPr>
          <w:rFonts w:ascii="Times New Roman" w:hAnsi="Times New Roman"/>
          <w:b/>
          <w:sz w:val="20"/>
        </w:rPr>
        <w:t>F  </w:t>
      </w:r>
      <w:r>
        <w:rPr>
          <w:rFonts w:ascii="Times New Roman" w:hAnsi="Times New Roman"/>
          <w:sz w:val="20"/>
        </w:rPr>
        <w:t xml:space="preserve">+65 6595 4671  www.walkersglobal.com </w:t>
      </w:r>
    </w:p>
    <w:p>
      <w:pPr>
        <w:pStyle w:val="TextBody"/>
        <w:bidi w:val="0"/>
        <w:spacing w:before="120" w:after="0"/>
        <w:jc w:val="right"/>
        <w:rPr>
          <w:rFonts w:ascii="Times New Roman" w:hAnsi="Times New Roman"/>
          <w:sz w:val="20"/>
        </w:rPr>
      </w:pPr>
      <w:r>
        <w:rPr>
          <w:rFonts w:ascii="Times New Roman" w:hAnsi="Times New Roman"/>
          <w:sz w:val="20"/>
        </w:rPr>
        <w:t xml:space="preserve">Bermuda | British Virgin Islands | Cayman Islands | Dubai | Dublin | Guernsey | Hong Kong | Jersey | London | Singapore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examinations and assumptions stated herein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is an exempted company duly incorporated with limited liability, validly existing under the laws of the Cayman Islands and is in good standing with the Registrar of Companies in the Cayman Islands (the </w:t>
            </w:r>
            <w:r>
              <w:rPr>
                <w:rFonts w:ascii="Times New Roman" w:hAnsi="Times New Roman"/>
                <w:b/>
                <w:sz w:val="20"/>
              </w:rPr>
              <w:t>Registrar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currently US$50,000 divided into 440,000,000 Class A ordinary shares of a nominal or par value of US$0.0001 each and 50,000,000 Class B ordinary shares of a nominal or par value of US$0.0001 each and 10,000,000 convertible preference shares of a nominal or par value of US$0.0001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and allotment of the Primary Shares pursuant to the Registration Statement have been duly authorized. When allotted, issued and fully paid for as contemplated in the Registration Statement, and when appropriate entries have been made in the Register of Members of the Company, the Primary Shares to be issued by the Company will be validly issued, allotted, fully paid and non-assessable (meaning that no additional sums may be levied in respect of such Primary Shares on the holder thereof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Secondary Shares, as contemplated by the Registration Statement, have been duly authorized. When allotted, issued and fully paid for as contemplated in the Registration Statement, and when appropriate entries have been made in the Register of Members of the Company, the Secondary Shares to be issued by the Company will be validly issued, allotted, fully paid and non-assessable (meaning that no additional sums may be levied in respect of such Secondary Shares on the holder thereof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and allotment of the Warrant Shares upon exercise of the Warrants as contemplated by the Warrant Documents, the delivery and exercise of which being in accordance with and in the manner contemplated by the Registration Statement, have been duly authorised. When allotted, issued and fully paid for as contemplated in the Warrant Documents and Registration Statement and when appropriate entries have been made in the Register of Members of the Company, the Warrant Shares to be issued by the Company will be validly issued, allotted, fully paid and non-assessable (meaning that no additional sums may be levied in respect of such Warrant Shares on the holder thereof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Warrant Documents to which the Company is a party have been authorised by and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Documents to which the Company is a party and the issuance of Warrants contemplated thereunder have been duly authorised and executed by the Company and, when delivered by the Company, the Warrant Documents and the Warrants constituted thereby will constitute the legal, valid and binding obligations of the Company enforceable in accordance with their respective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opinion in, and the filing hereof, as an exhibit to the Registration Statement and to the reference to our firm under the heading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3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This opinion is limited to the matters referred to herein and shall not be construed as extending to any other matter or document not referred to herein.</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0" w:after="0"/>
        <w:jc w:val="left"/>
        <w:rPr/>
      </w:pPr>
      <w:r>
        <w:rPr/>
        <w:t> </w:t>
      </w:r>
    </w:p>
    <w:p>
      <w:pPr>
        <w:pStyle w:val="TextBody"/>
        <w:bidi w:val="0"/>
        <w:spacing w:before="0" w:after="0"/>
        <w:jc w:val="left"/>
        <w:rPr/>
      </w:pPr>
      <w:r>
        <w:rPr/>
        <w:drawing>
          <wp:inline distT="0" distB="0" distL="0" distR="0">
            <wp:extent cx="5038725"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5038725" cy="609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Walkers (Singapore) Limited Liability Partnership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4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DOCUMENTS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 of Incorporation dated 21 March 2023, the Certificate of Incorporation on Change of Name dated 5 April 2023, the Memorandum and Articles of Association as registered on 21 March 2023, the Amended and Restated Memorandum and Articles of Association as adopted by special resolution on 4 April 2023 and as registered on 5 April 2023, the Second Amended and Restated Memorandum and Articles of Association as adopted by special resolution on 12 October 2023 (the </w:t>
            </w:r>
            <w:r>
              <w:rPr>
                <w:rFonts w:ascii="Times New Roman" w:hAnsi="Times New Roman"/>
                <w:b/>
                <w:sz w:val="20"/>
              </w:rPr>
              <w:t>Memorandum and Articles</w:t>
            </w:r>
            <w:r>
              <w:rPr>
                <w:rFonts w:ascii="Times New Roman" w:hAnsi="Times New Roman"/>
                <w:sz w:val="20"/>
              </w:rPr>
              <w:t>), Register of Members of the Company dated 27 October 2023 and Register of Directors of the Company dated 27 October 2023 (together the </w:t>
            </w:r>
            <w:r>
              <w:rPr>
                <w:rFonts w:ascii="Times New Roman" w:hAnsi="Times New Roman"/>
                <w:b/>
                <w:sz w:val="20"/>
              </w:rPr>
              <w:t>Company Records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Good Standing dated 9 October 2023 in respect of the Company issued by the Registrar (the </w:t>
            </w:r>
            <w:r>
              <w:rPr>
                <w:rFonts w:ascii="Times New Roman" w:hAnsi="Times New Roman"/>
                <w:b/>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 copy of executed written resolutions of the directors of the Company dated 25 May 2023, 12 October 2023 and 12 October 2023 respectively and a copy of the executed written resolutions of the shareholders of the Company dated 25 May 2023 and 12 October 2023 respectively (together the </w:t>
            </w:r>
            <w:r>
              <w:rPr>
                <w:rFonts w:ascii="Times New Roman" w:hAnsi="Times New Roman"/>
                <w:b/>
                <w:sz w:val="20"/>
              </w:rPr>
              <w:t>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Agreement to be executed as contemplated by the Registration Statement, by and among Continental Stock Transfer &amp; Trust Company and the Company (the </w:t>
            </w:r>
            <w:r>
              <w:rPr>
                <w:rFonts w:ascii="Times New Roman" w:hAnsi="Times New Roman"/>
                <w:b/>
                <w:sz w:val="20"/>
              </w:rPr>
              <w:t>PubCo Class</w:t>
            </w:r>
            <w:r>
              <w:rPr>
                <w:rFonts w:ascii="Times New Roman" w:hAnsi="Times New Roman"/>
                <w:sz w:val="20"/>
              </w:rPr>
              <w:t> </w:t>
            </w:r>
            <w:r>
              <w:rPr>
                <w:rFonts w:ascii="Times New Roman" w:hAnsi="Times New Roman"/>
                <w:b/>
                <w:sz w:val="20"/>
              </w:rPr>
              <w:t>A Warrant</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Instrument executed as contemplated by the Registration Statement, relating to 20,067,574 Warrants to subscribe for Class A ordinary shares in the Company as attached to the Class A Warrant Supplemental Deed dated 25 May 2023, by and among the Company, Bridgetown Holdings Limited (</w:t>
            </w:r>
            <w:r>
              <w:rPr>
                <w:rFonts w:ascii="Times New Roman" w:hAnsi="Times New Roman"/>
                <w:b/>
                <w:sz w:val="20"/>
              </w:rPr>
              <w:t>Acquiror</w:t>
            </w:r>
            <w:r>
              <w:rPr>
                <w:rFonts w:ascii="Times New Roman" w:hAnsi="Times New Roman"/>
                <w:sz w:val="20"/>
              </w:rPr>
              <w:t>) and CompareAsia Group Capital Limited (</w:t>
            </w:r>
            <w:r>
              <w:rPr>
                <w:rFonts w:ascii="Times New Roman" w:hAnsi="Times New Roman"/>
                <w:b/>
                <w:sz w:val="20"/>
              </w:rPr>
              <w:t>CAGCL</w:t>
            </w:r>
            <w:r>
              <w:rPr>
                <w:rFonts w:ascii="Times New Roman" w:hAnsi="Times New Roman"/>
                <w:sz w:val="20"/>
              </w:rPr>
              <w:t>) in relation to the warrant instrument relating to warrants to subscribe for class A ordinary shares in CAGCL dated 14 October 2022 (the </w:t>
            </w:r>
            <w:r>
              <w:rPr>
                <w:rFonts w:ascii="Times New Roman" w:hAnsi="Times New Roman"/>
                <w:b/>
                <w:sz w:val="20"/>
              </w:rPr>
              <w:t>PubCo Class</w:t>
            </w:r>
            <w:r>
              <w:rPr>
                <w:rFonts w:ascii="Times New Roman" w:hAnsi="Times New Roman"/>
                <w:sz w:val="20"/>
              </w:rPr>
              <w:t> </w:t>
            </w:r>
            <w:r>
              <w:rPr>
                <w:rFonts w:ascii="Times New Roman" w:hAnsi="Times New Roman"/>
                <w:b/>
                <w:sz w:val="20"/>
              </w:rPr>
              <w:t>A Warrant Instrument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Instrument executed as contemplated by the Registration Statement, relating to 3,939,471 Warrants to subscribe for Class A ordinary shares in the Company as attached to the Class C Warrant Supplemental Deed dated 25 May 2023, by and among the Company, Acquiror and CAGCL in relation to the warrant instrument relating to Class C-1 warrants to subscribe for class C ordinary shares in CAGCL dated 14 October 2022 (the </w:t>
            </w:r>
            <w:r>
              <w:rPr>
                <w:rFonts w:ascii="Times New Roman" w:hAnsi="Times New Roman"/>
                <w:b/>
                <w:sz w:val="20"/>
              </w:rPr>
              <w:t>PubCo Class</w:t>
            </w:r>
            <w:r>
              <w:rPr>
                <w:rFonts w:ascii="Times New Roman" w:hAnsi="Times New Roman"/>
                <w:sz w:val="20"/>
              </w:rPr>
              <w:t> </w:t>
            </w:r>
            <w:r>
              <w:rPr>
                <w:rFonts w:ascii="Times New Roman" w:hAnsi="Times New Roman"/>
                <w:b/>
                <w:sz w:val="20"/>
              </w:rPr>
              <w:t>C-1 Warrant Instrument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Instrument executed as contemplated by the Registration Statement, relating to 2,005,263 Warrants to subscribe for Class A ordinary shares in the Company as attached to the Class C Warrant Supplemental Deed dated 25 May 2023, by and among the Company, Acquiror and CAGCL in relation to the warrant instrument relating to Class C-2 warrants to subscribe for class C ordinary shares in CAGCL dated 14 October 2022 (the </w:t>
            </w:r>
            <w:r>
              <w:rPr>
                <w:rFonts w:ascii="Times New Roman" w:hAnsi="Times New Roman"/>
                <w:b/>
                <w:sz w:val="20"/>
              </w:rPr>
              <w:t>PubCo Class</w:t>
            </w:r>
            <w:r>
              <w:rPr>
                <w:rFonts w:ascii="Times New Roman" w:hAnsi="Times New Roman"/>
                <w:sz w:val="20"/>
              </w:rPr>
              <w:t> </w:t>
            </w:r>
            <w:r>
              <w:rPr>
                <w:rFonts w:ascii="Times New Roman" w:hAnsi="Times New Roman"/>
                <w:b/>
                <w:sz w:val="20"/>
              </w:rPr>
              <w:t>C-2 Warrant Instrument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9.</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The Assignment, Assumption and Amendment Agreement dated 25 May 2023, by and among Continental Stock Transfer &amp; Trust Company, the Company and Acquiror (the </w:t>
            </w:r>
            <w:r>
              <w:rPr>
                <w:rFonts w:ascii="Times New Roman" w:hAnsi="Times New Roman"/>
                <w:b/>
                <w:sz w:val="20"/>
              </w:rPr>
              <w:t>Assignment, Assumption and Amendment Agreement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PubCo Class A Warrant Agreement, PubCo Class A Warrant Instrument, PubCo Class C-1 Warrant Instrument, PubCo Class C-2 Warrant Instrument and Assignment, Assumption and Amendment Agreement, together, the </w:t>
      </w:r>
      <w:r>
        <w:rPr>
          <w:rFonts w:ascii="Times New Roman" w:hAnsi="Times New Roman"/>
          <w:b/>
          <w:sz w:val="20"/>
        </w:rPr>
        <w:t>Warrant Documents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5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originals of all documents examined in connection with this opinion are authentic. The signatures, representations of signatures, initials and/or seals (as appropriate) on the Warrant Documents are genuine and are those of a person or persons given power to execute the Warrant Documents under the Resolutions. All documents (including the Warrant Documents) purporting to be signed or sealed have been so signed or sealed (as appropriate). All copies are complete and conform to their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Memorandum and Articles reviewed by us are the Memorandum and Articles of Association of the Company that are in effect on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Records are complete and accurate and all matters required by law and the Memorandum and Articles to be recorded therein are completely and accurately so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Registration Statement and the Warrant Documents will be legal, valid, binding and enforceable against all relevant parties in accordance with their terms under the laws of the State of New York and all other relevant laws (other than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any shares in the capital of the Company will be effected via legally available means under Cayman Islands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issuance of the Warrant Shares, the Company has sufficient authorised and unissued share capital.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6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b/>
                <w:sz w:val="20"/>
              </w:rPr>
              <w:t>enforceable</w:t>
            </w:r>
            <w:r>
              <w:rPr>
                <w:rFonts w:ascii="Times New Roman" w:hAnsi="Times New Roman"/>
                <w:sz w:val="20"/>
              </w:rPr>
              <w:t xml:space="preserve"> and its cognates as used in this opinion means that the obligations assumed by any party under the documents cited in this opinion are of a type which the Courts enforce. This does not mean that those obligations will necessarily be enforced in all circumstances in accordance with their terms.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enforcement may be limited by general principles of equity and, in particular, the availability of certain equitable remedies such as injunction or specific performance of an obligation may be limited where a Court considers damages to be an adequate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may become barred under statutes of limitation or may be or become subject to defences of set-off, counterclaim, estoppel and similar defences;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obligations are to be performed in a jurisdiction outside the Cayman Islands, they may not be enforceable in the Cayman Islands to the extent that performance would be illegal under the laws of, or contrary to the public policy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judgment of a Court may be required to be made in Cayman Islands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any provision of the documents cited in this opinion is adjudicated to be penal in nature, it will not be enforceable in the Courts; in particular, the enforceability of any provision of the documents cited in this opinion that is adjudicated to constitute a secondary obligation which imposes a detriment on the contract-breaker out of all proportion to any legitimate interest of the innocent party in the enforcement of the primary obligation may be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performance of any obligation arising under the documents cited in this opinion would be fraudulent or contrary to public policy, it will not be enforceable in the Courts;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will not necessarily award costs in litigation in accordance with contractual provisions in this regard;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terms in the documents cited in this opinion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 as to good standing is based solely upon receipt of the Certificate of Good Standing issued by the Registrar. The Company shall be deemed to be in good standing under section 200A of the Companies Act (as amended) of the Cayman Islands on the date of issue of the certificate if all fees and penalties under the Companies Act have been paid and the Registrar has no knowledge that the Company is in default under the Companies Act.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70"/>
        <w:gridCol w:w="123"/>
        <w:gridCol w:w="4812"/>
      </w:tblGrid>
      <w:tr>
        <w:trPr/>
        <w:tc>
          <w:tcPr>
            <w:tcW w:w="5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r>
      <w:tr>
        <w:trPr/>
        <w:tc>
          <w:tcPr>
            <w:tcW w:w="5270" w:type="dxa"/>
            <w:tcBorders/>
          </w:tcPr>
          <w:p>
            <w:pPr>
              <w:pStyle w:val="TableContents"/>
              <w:bidi w:val="0"/>
              <w:spacing w:before="0" w:after="283"/>
              <w:jc w:val="left"/>
              <w:rPr>
                <w:b/>
              </w:rPr>
            </w:pPr>
            <w:r>
              <w:rPr>
                <w:b/>
              </w:rPr>
              <w:t>WALKERS</w:t>
            </w:r>
          </w:p>
        </w:tc>
        <w:tc>
          <w:tcPr>
            <w:tcW w:w="123"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right"/>
              <w:rPr/>
            </w:pPr>
            <w:r>
              <w:rPr/>
              <w:t xml:space="preserve">Page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upon any provisions in the Memorandum and Articles of Association or any document which contains a reference to any law or statute that is not a Cayman Islands law or statute.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5086/000119312523153719/d499873dex21.htm" TargetMode="External"/><Relationship Id="rId3" Type="http://schemas.openxmlformats.org/officeDocument/2006/relationships/hyperlink" Target="http://www.sec.gov/Archives/edgar/data/1974044/000119312523259579/d549856dex11.htm" TargetMode="External"/><Relationship Id="rId4" Type="http://schemas.openxmlformats.org/officeDocument/2006/relationships/hyperlink" Target="http://www.sec.gov/Archives/edgar/data/1974044/000119312523265170/d553933dex52.htm" TargetMode="External"/><Relationship Id="rId5" Type="http://schemas.openxmlformats.org/officeDocument/2006/relationships/hyperlink" Target="http://www.sec.gov/Archives/edgar/data/1815086/000119312523153719/d499873dex101.htm" TargetMode="External"/><Relationship Id="rId6" Type="http://schemas.openxmlformats.org/officeDocument/2006/relationships/hyperlink" Target="http://www.sec.gov/Archives/edgar/data/1815086/000119312523153719/d499873dex102.htm" TargetMode="External"/><Relationship Id="rId7" Type="http://schemas.openxmlformats.org/officeDocument/2006/relationships/hyperlink" Target="http://www.sec.gov/Archives/edgar/data/1815086/000119312523153719/d499873dex103.htm" TargetMode="External"/><Relationship Id="rId8" Type="http://schemas.openxmlformats.org/officeDocument/2006/relationships/hyperlink" Target="http://www.sec.gov/Archives/edgar/data/1815086/000119312523153719/d499873dex104.htm" TargetMode="External"/><Relationship Id="rId9" Type="http://schemas.openxmlformats.org/officeDocument/2006/relationships/hyperlink" Target="http://www.sec.gov/Archives/edgar/data/1974044/000119312523259579/d549856dex22.htm" TargetMode="External"/><Relationship Id="rId10" Type="http://schemas.openxmlformats.org/officeDocument/2006/relationships/hyperlink" Target="http://www.sec.gov/Archives/edgar/data/1974044/000119312523259579/d549856dex23.htm" TargetMode="External"/><Relationship Id="rId11" Type="http://schemas.openxmlformats.org/officeDocument/2006/relationships/hyperlink" Target="http://www.sec.gov/Archives/edgar/data/1974044/000119312523259579/d549856dex45.htm" TargetMode="External"/><Relationship Id="rId12" Type="http://schemas.openxmlformats.org/officeDocument/2006/relationships/hyperlink" Target="http://www.sec.gov/Archives/edgar/data/1974044/000119312523259579/d549856dex46.htm" TargetMode="External"/><Relationship Id="rId13" Type="http://schemas.openxmlformats.org/officeDocument/2006/relationships/hyperlink" Target="http://www.sec.gov/Archives/edgar/data/1974044/000119312523259579/d549856dex81.htm" TargetMode="External"/><Relationship Id="rId14" Type="http://schemas.openxmlformats.org/officeDocument/2006/relationships/hyperlink" Target="http://www.sec.gov/Archives/edgar/data/1974044/000119312524004358/d553933dex231.htm" TargetMode="External"/><Relationship Id="rId15" Type="http://schemas.openxmlformats.org/officeDocument/2006/relationships/hyperlink" Target="http://www.sec.gov/Archives/edgar/data/1974044/000119312524004358/d553933dex232.htm" TargetMode="External"/><Relationship Id="rId16" Type="http://schemas.openxmlformats.org/officeDocument/2006/relationships/hyperlink" Target="http://www.sec.gov/Archives/edgar/data/1974044/000119312523284265/d553933dexfilingfees.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5378</Words>
  <Characters>27804</Characters>
  <CharactersWithSpaces>33398</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