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82026_120831.xml.htm"/>
      <w:bookmarkStart w:id="1" w:name="ksform408082026_1208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118"/>
        <w:gridCol w:w="3063"/>
        <w:gridCol w:w="3024"/>
      </w:tblGrid>
      <w:tr>
        <w:trPr/>
        <w:tc>
          <w:tcPr>
            <w:tcW w:w="411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Pai Wallace Nung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MONEYHERO LIMITED</w:t>
                  </w:r>
                </w:p>
              </w:tc>
            </w:tr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 SHENTON WAY #18-15, EON SHENTON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S079118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06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MoneyHero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24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5"/>
              <w:gridCol w:w="1017"/>
              <w:gridCol w:w="435"/>
              <w:gridCol w:w="1017"/>
            </w:tblGrid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0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4"/>
              <w:gridCol w:w="2470"/>
            </w:tblGrid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163,058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being reported late due to inadvertent administrative oversight.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restricted share units (the "RSUs"). Each RSU represents a contingent right to receive one Class A ordinary share of the Issuer upon settlement. 100% of the RSUs will vest on August 17, 2026, subject to the Reporting Person's continued service with the Issuer through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Ming Hei Jasper Yip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7956" TargetMode="External"/><Relationship Id="rId5" Type="http://schemas.openxmlformats.org/officeDocument/2006/relationships/hyperlink" Target="http://www.sec.gov/cgi-bin/browse-edgar?action=getcompany&amp;CIK=0001974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3428</Characters>
  <CharactersWithSpaces>3989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