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57700-6k_money.htm"/>
      <w:bookmarkStart w:id="1" w:name="ksea02577006k_mone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pPr>
            <w:hyperlink w:anchor="ea025770001ex99-1_money.htm">
              <w:r>
                <w:rPr>
                  <w:rStyle w:val="InternetLink"/>
                  <w:sz w:val="20"/>
                </w:rPr>
                <w:t>Press Release.</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135"/>
        <w:gridCol w:w="590"/>
        <w:gridCol w:w="1955"/>
      </w:tblGrid>
      <w:tr>
        <w:trPr/>
        <w:tc>
          <w:tcPr>
            <w:tcW w:w="213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MONEYHERO LIMITED</w:t>
            </w:r>
          </w:p>
        </w:tc>
      </w:tr>
      <w:tr>
        <w:trPr/>
        <w:tc>
          <w:tcPr>
            <w:tcW w:w="213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19, 2025</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Rohith Murthy</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Rohith Murthy</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ind w:left="0" w:right="0" w:hanging="0"/>
        <w:jc w:val="right"/>
        <w:rPr>
          <w:rFonts w:ascii="Times New Roman;Times;Serif" w:hAnsi="Times New Roman;Times;Serif"/>
          <w:b/>
        </w:rPr>
      </w:pPr>
      <w:bookmarkStart w:id="2" w:name="ea025770001ex99-1_money.htm"/>
      <w:bookmarkStart w:id="3" w:name="ksea025770001ex991_money"/>
      <w:bookmarkEnd w:id="2"/>
      <w:bookmarkEnd w:id="3"/>
      <w:r>
        <w:rPr>
          <w:rFonts w:ascii="Times New Roman;Times;Serif" w:hAnsi="Times New Roman;Times;Serif"/>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147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14750" cy="1066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Reports Second Quarter 2025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Profitable on a quarterly basis, with a net income of US$0.2 million versus a net loss of US$(12.2) million during the same period last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improved by 79% YoY to US$(2.0) million, supported by a stronger revenue mix, growing partnership ecosystem, and AI-driven efficiency gains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Higher-margin Insurance and Wealth verticals comprised 27% of revenue, up 5 percentage points YoY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September 19, 2025 -- </w:t>
      </w:r>
      <w:r>
        <w:rPr>
          <w:rFonts w:ascii="Times New Roman;Times;Serif" w:hAnsi="Times New Roman;Times;Serif"/>
          <w:b w:val="false"/>
          <w:i w:val="false"/>
          <w:caps w:val="false"/>
          <w:smallCaps w:val="false"/>
          <w:sz w:val="20"/>
          <w:u w:val="single"/>
        </w:rPr>
        <w:t>MoneyHero Limited</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val="false"/>
          <w:i w:val="false"/>
          <w:caps w:val="false"/>
          <w:smallCaps w:val="false"/>
          <w:sz w:val="20"/>
          <w:u w:val="single"/>
        </w:rPr>
        <w:t>MNY</w:t>
      </w:r>
      <w:r>
        <w:rPr>
          <w:rFonts w:ascii="Times New Roman;Times;Serif" w:hAnsi="Times New Roman;Times;Serif"/>
          <w:b w:val="false"/>
          <w:i w:val="false"/>
          <w:caps w:val="false"/>
          <w:smallCaps w:val="false"/>
          <w:sz w:val="20"/>
        </w:rPr>
        <w:t>) (“MoneyHero” or the “Company”), a leading personal finance aggregation and comparison platform and a digital insurance brokerage provider in Greater Southeast Asia, today announced its financial results for the second quarter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Rohith Murthy, Chief Executive Officer</w:t>
      </w:r>
      <w:r>
        <w:rPr>
          <w:rFonts w:ascii="Times New Roman;Times;Serif" w:hAnsi="Times New Roman;Times;Serif"/>
          <w:b w:val="false"/>
          <w:i w:val="false"/>
          <w:caps w:val="false"/>
          <w:smallCaps w:val="false"/>
          <w:sz w:val="20"/>
        </w:rPr>
        <w:t>,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set out to reshape MoneyHero for durable, profitable growth — and our Q2 results reflect the significant progress we have made. Our strategy has resulted in net income of US$0.2 million in Q2 versus a net loss of US$(12.2) million during the same period last year, Adjusted EBITDA loss improving by 79% year-over-year to US$(2.0) million, cost of revenue falling 16 percentage points year-over-year to 51% of revenue, and the high-margin Insurance and Wealth verticals now accounting for 27% of revenue, up 5 percentage points year-over-year. Group membership on the platform also expanded by 33% year-over-year to 8.6 million, underscoring the reach and engagement driving our improving revenue mix. Together, these elements — optimized revenue mix, improving margins, and disciplined operations — serve as the compounding levers driving us forward in the right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product engine continues to deliver momentum. Car Insurance is scaling with real-time pricing and end-to-end digital journeys in Hong Kong and Singapore, while Travel Insurance has been streamlined to a three-click purchase flow, significantly lifting completion rates. In Wealth, we broadened our marketplace through collaborations with licensed digital-asset platforms, providing consumers more choice while maintaining a disciplined, compliance-first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embedding AI across our business through our Reward, Approval, and Yield Intelligence playbooks and AI-assisted service. These initiatives are live in production and are already reducing customer acquisition cost per approval, improving approval quality, and increasing first-contact resolution — allowing us to keep headcount flat while volumes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strengthen our two-sided marketplace. Our SingSaver Best-Of Awards in Singapore brought together 170+ partners and reaffirmed our commitment to excellence and innovation in the personal finance industry. These touchpoints strengthen collaboration with our strategic partners and unlock new commercial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continue to scale our higher-margin Insurance and Wealth verticals, with mix expected to make up approximately 30% of Group revenue by the end of the year. The launch of Hong Kong’s Credit Hero Club with TransUnion in Q4 will deepen engagement and drive higher conversion rates, with expansion planned into other markets. We will continue to strategically invest in our business — balancing disciplined cost management with targeted investments in product innovation, AI capabilities, and long-term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Danny Leung, interim Chief Financial Officer</w:t>
      </w:r>
      <w:r>
        <w:rPr>
          <w:rFonts w:ascii="Times New Roman;Times;Serif" w:hAnsi="Times New Roman;Times;Serif"/>
          <w:b w:val="false"/>
          <w:i w:val="false"/>
          <w:caps w:val="false"/>
          <w:smallCaps w:val="false"/>
          <w:sz w:val="20"/>
        </w:rPr>
        <w:t>, added: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Q2 financial performance shows the progress we have made since pivoting the business in the second half of 2024. In Q1, we set out our priorities — improving revenue quality, expanding gross margins, and tightening operating discipline. Q2 demonstrates that those priorities are delivering: the model is structurally healthier, and the trajectory toward sustainable profitability remains firmly on 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Revenue was US$18.0 million in Q2, down 13% year-over-year due to our deliberate moderation of lower-margin credit card volumes. That said, our revenue mix continues to improve. Insurance grew from 11% to 14% of revenue year-over-year and Wealth grew from 11% to 13%, while Credit Cards reduced slightly from 62% to 61%. Together, Insurance and Wealth contributed 27% of revenue this quarter, up from 22% during the same period last year. This shift underscores our strategy to focus on higher-margin, recurring verticals.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Gross margins improved significantly. Cost of revenue declined by 16 percentage points to 51% of revenue from 67% in Q2 last year, representing a 34% year-over-year efficiency gain. This improvement in unit economics translates directly into stronger profitability, and reflects disciplined reward calibration as well as improved approval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Operating costs and expenses, excluding net foreign exchange differences, fell 37% year-over-year to US$20.6 million. Reductions were broad-based, driven by cost optimization and efficiency initiatives across the business. These savings reflect our disciplined cost management and efficiency gains, even as we continue targeted investment in AI infrastructure, customer acquisition, and platform optimization.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a result, profitability improved across all measures. Net income was US$0.2 million versus a US$(12.2) million net loss in Q2 2024. Adjusted EBITDA loss improved to US$(2.0) million from US$(3.3) million last quarter and US$(9.3) million a year ago. The consistent sequential progress strengthens our confidence in delivering positive Adjusted EBITDA in the later part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allocation remains disciplined. We are reinvesting in higher-margin segments — particularly Insurance, Personal Loans, and Wealth—while also driving initiatives such as Credit Hero Club with TransUnion in Hong Kong, and forming strategic collaborations with licensed digital-asset institutions such as OSL.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expect continued margin expansion and stronger operating leverage as revenue mix improves and cost discipline holds. Our path to Adjusted EBITDA profitability in the later part of 2025 is supported by structural improvements already visible in the numbers. Our commitment remains unchanged: deliver sustainable profitability, strengthen the balance sheet, and maximize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Financial Highlights</w:t>
      </w:r>
    </w:p>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decreased by 13% year-over-year to US$18.0 million in the second quarter of 2025, reflecting a strategic shift toward diversifying revenue mix to enhance revenue quality and the high base effect set during the same period last year which saw significant marketing and customer acquisition spending in the credit card vertical to expand market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from insurance products increased by 18% year-over-year to US$2.6 million in the second quarter of 2025, accounting for 14% of total revenue, compared to 11% during the same period last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from wealth products remained flat year-over-year at US$2.3 million in the second quarter of 2025, accounting for 13% of total revenue, compared to 11% during the same period last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 in the second quarter of 2025 decreased by 34% year-over-year to US$9.1 million from US$13.8 million and accounted for 51% of revenue, a decrease of 16 percentage points from 67% during the same period last year, reflecting improved gross margins through rewards costs optimization.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costs and expenses, excluding net foreign exchange differences, decreased to US$20.6 million in the second quarter of 2025 from US$32.5 million during the same period last year. This reduction was driven by optimized reward costs, cost-efficient advertising and marketing campaigns, strategic technology cost reductions to simplify operations, and a comprehensive restructuring of our employee benefit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was US$0.2 million in the second quarter of 2025 compared to a net loss of US$(12.2) million in the prior year period, driven by reduced operating costs and expenses, excluding net foreign exchange differences, and an unrealized foreign exchange gain arising from the weakening of the US dollar against local currencies during the second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improved to US$(2.0) million in the second quarter of 2025 from US$(9.3) million in the prior year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Operational Highlights</w:t>
      </w:r>
    </w:p>
    <w:p>
      <w:pPr>
        <w:pStyle w:val="TextBody"/>
        <w:bidi w:val="0"/>
        <w:spacing w:before="0" w:after="0"/>
        <w:ind w:left="567" w:right="0" w:hanging="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Monthly Unique Users of 5.3 million for the three months ended June 30,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MoneyHero Group Members, to whom the Company provides more tailored product information and recommendations, grew by 33% year-over-year to 8.6 million as of June 30,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MoneyHero sourced 408,000 applications and had 173,000 approved applications in the second quarter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capital structure of the Company as of June 30, 2025:</w:t>
      </w:r>
    </w:p>
    <w:p>
      <w:pPr>
        <w:pStyle w:val="TextBody"/>
        <w:bidi w:val="0"/>
        <w:spacing w:before="0" w:after="0"/>
        <w:ind w:left="0" w:right="0" w:hanging="0"/>
        <w:jc w:val="both"/>
        <w:rPr>
          <w:caps w:val="false"/>
          <w:smallCaps w:val="false"/>
        </w:rPr>
      </w:pPr>
      <w:r>
        <w:rPr>
          <w:caps w:val="false"/>
          <w:smallCaps w:val="false"/>
        </w:rPr>
        <w:t> </w:t>
      </w:r>
    </w:p>
    <w:tbl>
      <w:tblPr>
        <w:tblW w:w="4689" w:type="dxa"/>
        <w:jc w:val="left"/>
        <w:tblInd w:w="0" w:type="dxa"/>
        <w:tblLayout w:type="fixed"/>
        <w:tblCellMar>
          <w:top w:w="0" w:type="dxa"/>
          <w:left w:w="0" w:type="dxa"/>
          <w:bottom w:w="28" w:type="dxa"/>
          <w:right w:w="0" w:type="dxa"/>
        </w:tblCellMar>
      </w:tblPr>
      <w:tblGrid>
        <w:gridCol w:w="2120"/>
        <w:gridCol w:w="60"/>
        <w:gridCol w:w="125"/>
        <w:gridCol w:w="2309"/>
        <w:gridCol w:w="75"/>
      </w:tblGrid>
      <w:tr>
        <w:trPr/>
        <w:tc>
          <w:tcPr>
            <w:tcW w:w="2120" w:type="dxa"/>
            <w:tcBorders>
              <w:bottom w:val="single" w:sz="12" w:space="0" w:color="000000"/>
            </w:tcBorders>
            <w:vAlign w:val="center"/>
          </w:tcPr>
          <w:p>
            <w:pPr>
              <w:pStyle w:val="TableContents"/>
              <w:bidi w:val="0"/>
              <w:spacing w:before="0" w:after="283"/>
              <w:ind w:left="0" w:right="0" w:hanging="0"/>
              <w:jc w:val="both"/>
              <w:rPr>
                <w:b/>
              </w:rPr>
            </w:pPr>
            <w:r>
              <w:rPr>
                <w:b/>
              </w:rPr>
              <w:t>Share Class</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12" w:space="0" w:color="000000"/>
            </w:tcBorders>
            <w:vAlign w:val="center"/>
          </w:tcPr>
          <w:p>
            <w:pPr>
              <w:pStyle w:val="TableContents"/>
              <w:bidi w:val="0"/>
              <w:spacing w:before="0" w:after="283"/>
              <w:ind w:left="0" w:right="0" w:hanging="0"/>
              <w:jc w:val="center"/>
              <w:rPr>
                <w:b/>
              </w:rPr>
            </w:pPr>
            <w:r>
              <w:rPr>
                <w:b/>
              </w:rPr>
              <w:t>Issued and Outstanding</w:t>
            </w:r>
          </w:p>
        </w:tc>
        <w:tc>
          <w:tcPr>
            <w:tcW w:w="75" w:type="dxa"/>
            <w:tcBorders/>
            <w:tcMar>
              <w:bottom w:w="0" w:type="dxa"/>
            </w:tcMar>
            <w:vAlign w:val="center"/>
          </w:tcPr>
          <w:p>
            <w:pPr>
              <w:pStyle w:val="TableContents"/>
              <w:bidi w:val="0"/>
              <w:spacing w:before="0" w:after="283"/>
              <w:ind w:left="0" w:right="0" w:hanging="0"/>
              <w:jc w:val="left"/>
              <w:rPr/>
            </w:pPr>
            <w:r>
              <w:rPr/>
              <w:t> </w:t>
            </w:r>
          </w:p>
        </w:tc>
      </w:tr>
      <w:tr>
        <w:trPr/>
        <w:tc>
          <w:tcPr>
            <w:tcW w:w="2120" w:type="dxa"/>
            <w:tcBorders/>
            <w:shd w:fill="CCEEFF" w:val="clear"/>
            <w:tcMar>
              <w:bottom w:w="0" w:type="dxa"/>
            </w:tcMar>
            <w:vAlign w:val="center"/>
          </w:tcPr>
          <w:p>
            <w:pPr>
              <w:pStyle w:val="TableContents"/>
              <w:bidi w:val="0"/>
              <w:spacing w:before="0" w:after="283"/>
              <w:ind w:left="0" w:right="0" w:hanging="0"/>
              <w:jc w:val="both"/>
              <w:rPr>
                <w:b/>
              </w:rPr>
            </w:pPr>
            <w:r>
              <w:rPr>
                <w:b/>
              </w:rPr>
              <w:t>Class A Ordinary</w:t>
            </w:r>
            <w:r>
              <w:rPr>
                <w:b w:val="false"/>
                <w:i w:val="false"/>
                <w:caps w:val="false"/>
                <w:smallCaps w:val="false"/>
                <w:position w:val="8"/>
                <w:sz w:val="19"/>
              </w:rPr>
              <w:t>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2309" w:type="dxa"/>
            <w:tcBorders/>
            <w:shd w:fill="CCEEFF" w:val="clear"/>
            <w:tcMar>
              <w:bottom w:w="0" w:type="dxa"/>
            </w:tcMar>
            <w:vAlign w:val="center"/>
          </w:tcPr>
          <w:p>
            <w:pPr>
              <w:pStyle w:val="TableContents"/>
              <w:bidi w:val="0"/>
              <w:spacing w:before="0" w:after="283"/>
              <w:ind w:left="0" w:right="0" w:hanging="0"/>
              <w:jc w:val="right"/>
              <w:rPr/>
            </w:pPr>
            <w:r>
              <w:rPr/>
              <w:t>30,053,652</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20" w:type="dxa"/>
            <w:tcBorders/>
            <w:shd w:fill="FFFFFF" w:val="clear"/>
            <w:tcMar>
              <w:bottom w:w="0" w:type="dxa"/>
            </w:tcMar>
            <w:vAlign w:val="center"/>
          </w:tcPr>
          <w:p>
            <w:pPr>
              <w:pStyle w:val="TableContents"/>
              <w:bidi w:val="0"/>
              <w:spacing w:before="0" w:after="283"/>
              <w:ind w:left="0" w:right="0" w:hanging="0"/>
              <w:jc w:val="both"/>
              <w:rPr>
                <w:b/>
              </w:rPr>
            </w:pPr>
            <w:r>
              <w:rPr>
                <w:b/>
              </w:rPr>
              <w:t>Class B Ordinary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2309" w:type="dxa"/>
            <w:tcBorders/>
            <w:shd w:fill="FFFFFF" w:val="clear"/>
            <w:tcMar>
              <w:bottom w:w="0" w:type="dxa"/>
            </w:tcMar>
            <w:vAlign w:val="center"/>
          </w:tcPr>
          <w:p>
            <w:pPr>
              <w:pStyle w:val="TableContents"/>
              <w:bidi w:val="0"/>
              <w:spacing w:before="0" w:after="283"/>
              <w:ind w:left="0" w:right="0" w:hanging="0"/>
              <w:jc w:val="right"/>
              <w:rPr/>
            </w:pPr>
            <w:r>
              <w:rPr/>
              <w:t>13,254,838</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120" w:type="dxa"/>
            <w:tcBorders/>
            <w:shd w:fill="CCEEFF" w:val="clear"/>
            <w:tcMar>
              <w:bottom w:w="0" w:type="dxa"/>
            </w:tcMar>
            <w:vAlign w:val="center"/>
          </w:tcPr>
          <w:p>
            <w:pPr>
              <w:pStyle w:val="TableContents"/>
              <w:bidi w:val="0"/>
              <w:spacing w:before="0" w:after="283"/>
              <w:ind w:left="0" w:right="0" w:hanging="0"/>
              <w:jc w:val="both"/>
              <w:rPr>
                <w:b/>
              </w:rPr>
            </w:pPr>
            <w:r>
              <w:rPr>
                <w:b/>
              </w:rPr>
              <w:t>Preference Shares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2309" w:type="dxa"/>
            <w:tcBorders/>
            <w:shd w:fill="CCEEFF" w:val="clear"/>
            <w:tcMar>
              <w:bottom w:w="0" w:type="dxa"/>
            </w:tcMar>
            <w:vAlign w:val="center"/>
          </w:tcPr>
          <w:p>
            <w:pPr>
              <w:pStyle w:val="TableContents"/>
              <w:bidi w:val="0"/>
              <w:spacing w:before="0" w:after="283"/>
              <w:ind w:left="0" w:right="0" w:hanging="0"/>
              <w:jc w:val="right"/>
              <w:rPr/>
            </w:pPr>
            <w:r>
              <w:rPr/>
              <w:t>2,407,575</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20" w:type="dxa"/>
            <w:tcBorders/>
            <w:shd w:fill="FFFFFF" w:val="clear"/>
            <w:tcMar>
              <w:bottom w:w="0" w:type="dxa"/>
            </w:tcMar>
            <w:vAlign w:val="center"/>
          </w:tcPr>
          <w:p>
            <w:pPr>
              <w:pStyle w:val="TableContents"/>
              <w:bidi w:val="0"/>
              <w:spacing w:before="0" w:after="283"/>
              <w:ind w:left="0" w:right="0" w:hanging="0"/>
              <w:jc w:val="both"/>
              <w:rPr>
                <w:rFonts w:ascii="Times New Roman;Times;Serif" w:hAnsi="Times New Roman;Times;Serif"/>
                <w:b/>
              </w:rPr>
            </w:pPr>
            <w:r>
              <w:rPr>
                <w:rFonts w:ascii="Times New Roman;Times;Serif" w:hAnsi="Times New Roman;Times;Serif"/>
                <w:b/>
              </w:rPr>
              <w:t>Total Issued Shares</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2309" w:type="dxa"/>
            <w:tcBorders/>
            <w:shd w:fill="FFFFFF" w:val="clear"/>
            <w:tcMar>
              <w:bottom w:w="0" w:type="dxa"/>
            </w:tcMar>
            <w:vAlign w:val="center"/>
          </w:tcPr>
          <w:p>
            <w:pPr>
              <w:pStyle w:val="TableContents"/>
              <w:bidi w:val="0"/>
              <w:spacing w:before="0" w:after="283"/>
              <w:ind w:left="0" w:right="0" w:hanging="0"/>
              <w:jc w:val="right"/>
              <w:rPr/>
            </w:pPr>
            <w:r>
              <w:rPr/>
              <w:t>45,716,065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Includes 534,240 shares issued to Computershare Hong Kong Investor Services Limited (“</w:t>
            </w:r>
            <w:r>
              <w:rPr>
                <w:b/>
              </w:rPr>
              <w:t>Computershare</w:t>
            </w:r>
            <w:r>
              <w:rPr/>
              <w:t>”) which are held in trust pending exercise and settlement of share options by Computershare to the underlying exercising option holder.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 Sponsor Warrants, Class A-1 Warrants, Class A-2 Warrants and Class A-3 Warrants are excluded since they are out of the money.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financial / KPI performance</w:t>
      </w:r>
    </w:p>
    <w:p>
      <w:pPr>
        <w:pStyle w:val="TextBody"/>
        <w:bidi w:val="0"/>
        <w:spacing w:before="0" w:after="0"/>
        <w:ind w:left="0" w:right="0" w:hanging="0"/>
        <w:jc w:val="both"/>
        <w:rPr>
          <w:caps w:val="false"/>
          <w:smallCaps w:val="false"/>
        </w:rPr>
      </w:pPr>
      <w:r>
        <w:rPr>
          <w:caps w:val="false"/>
          <w:smallCaps w:val="false"/>
        </w:rPr>
        <w:t> </w:t>
      </w:r>
    </w:p>
    <w:tbl>
      <w:tblPr>
        <w:tblW w:w="9289" w:type="dxa"/>
        <w:jc w:val="left"/>
        <w:tblInd w:w="0" w:type="dxa"/>
        <w:tblLayout w:type="fixed"/>
        <w:tblCellMar>
          <w:top w:w="0" w:type="dxa"/>
          <w:left w:w="0" w:type="dxa"/>
          <w:bottom w:w="0" w:type="dxa"/>
          <w:right w:w="0" w:type="dxa"/>
        </w:tblCellMar>
      </w:tblPr>
      <w:tblGrid>
        <w:gridCol w:w="3230"/>
        <w:gridCol w:w="60"/>
        <w:gridCol w:w="110"/>
        <w:gridCol w:w="1256"/>
        <w:gridCol w:w="175"/>
        <w:gridCol w:w="110"/>
        <w:gridCol w:w="110"/>
        <w:gridCol w:w="1256"/>
        <w:gridCol w:w="95"/>
        <w:gridCol w:w="60"/>
        <w:gridCol w:w="95"/>
        <w:gridCol w:w="1081"/>
        <w:gridCol w:w="151"/>
        <w:gridCol w:w="95"/>
        <w:gridCol w:w="95"/>
        <w:gridCol w:w="1200"/>
        <w:gridCol w:w="11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89" w:type="dxa"/>
            <w:gridSpan w:val="14"/>
            <w:tcBorders/>
            <w:vAlign w:val="center"/>
          </w:tcPr>
          <w:p>
            <w:pPr>
              <w:pStyle w:val="TableContents"/>
              <w:bidi w:val="0"/>
              <w:spacing w:before="0" w:after="283"/>
              <w:jc w:val="center"/>
              <w:rPr/>
            </w:pPr>
            <w:r>
              <w:rPr/>
              <w:t>(US$ in thousands, unless otherwise noted)</w:t>
            </w:r>
          </w:p>
        </w:tc>
        <w:tc>
          <w:tcPr>
            <w:tcW w:w="110"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18,022</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32,336</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42,849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(1,951</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(9,336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(5,259</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(15,775</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32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Clicks (in thousands)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2,022</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4,103</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Applications (in thousands)</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408</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807</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970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Approved Applications (in thousands)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173</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329</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 breakdown</w:t>
      </w:r>
    </w:p>
    <w:p>
      <w:pPr>
        <w:pStyle w:val="TextBody"/>
        <w:bidi w:val="0"/>
        <w:spacing w:before="0" w:after="0"/>
        <w:ind w:left="0" w:right="0" w:hanging="0"/>
        <w:jc w:val="both"/>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3650"/>
        <w:gridCol w:w="60"/>
        <w:gridCol w:w="60"/>
        <w:gridCol w:w="680"/>
        <w:gridCol w:w="60"/>
        <w:gridCol w:w="60"/>
        <w:gridCol w:w="60"/>
        <w:gridCol w:w="560"/>
        <w:gridCol w:w="60"/>
        <w:gridCol w:w="60"/>
        <w:gridCol w:w="60"/>
        <w:gridCol w:w="680"/>
        <w:gridCol w:w="60"/>
        <w:gridCol w:w="60"/>
        <w:gridCol w:w="60"/>
        <w:gridCol w:w="560"/>
        <w:gridCol w:w="60"/>
        <w:gridCol w:w="60"/>
        <w:gridCol w:w="60"/>
        <w:gridCol w:w="680"/>
        <w:gridCol w:w="60"/>
        <w:gridCol w:w="60"/>
        <w:gridCol w:w="60"/>
        <w:gridCol w:w="560"/>
        <w:gridCol w:w="60"/>
        <w:gridCol w:w="60"/>
        <w:gridCol w:w="60"/>
        <w:gridCol w:w="680"/>
        <w:gridCol w:w="60"/>
        <w:gridCol w:w="60"/>
        <w:gridCol w:w="60"/>
        <w:gridCol w:w="560"/>
        <w:gridCol w:w="75"/>
      </w:tblGrid>
      <w:tr>
        <w:trPr/>
        <w:tc>
          <w:tcPr>
            <w:tcW w:w="365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0"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0"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365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US$</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US$</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US$</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US$</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6280" w:type="dxa"/>
            <w:gridSpan w:val="30"/>
            <w:tcBorders/>
            <w:vAlign w:val="center"/>
          </w:tcPr>
          <w:p>
            <w:pPr>
              <w:pStyle w:val="TableContents"/>
              <w:bidi w:val="0"/>
              <w:spacing w:before="0" w:after="283"/>
              <w:ind w:left="0" w:right="0" w:hanging="0"/>
              <w:jc w:val="center"/>
              <w:rPr/>
            </w:pPr>
            <w:r>
              <w:rPr/>
              <w:t>(US$ in thousands, except for percentages)</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b/>
              </w:rPr>
            </w:pPr>
            <w:r>
              <w:rPr>
                <w:b/>
              </w:rPr>
              <w:t>By Geographical Market: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Singapore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7,773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43.1</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9,018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43.6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12,857</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39.8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17,963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41.9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Hong Kong</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7,798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43.3</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7,266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35.1</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14,195</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43.9</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14,982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35.0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Taiwan</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754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4.2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1,424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6.9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1,808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5.6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2,826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Philippines</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1,697</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9.4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2,938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14.2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3,476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10.7</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6,917</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Malaysia</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28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0.1</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161</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0.4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b/>
              </w:rPr>
            </w:pPr>
            <w:r>
              <w:rPr>
                <w:b/>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18,022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20,674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32,336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42,849</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b/>
              </w:rPr>
            </w:pPr>
            <w:r>
              <w:rPr>
                <w:b/>
              </w:rPr>
              <w:t>100.0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b/>
              </w:rPr>
            </w:pPr>
            <w:r>
              <w:rPr>
                <w:b/>
              </w:rPr>
              <w:t>By Source:</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Online financial comparison platforms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16,067</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89.2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17,760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85.9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28,704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88.8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35,818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83.6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Creatory</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1,955</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10.8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2,914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14.1</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3,632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11.2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7,030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b/>
              </w:rPr>
            </w:pPr>
            <w:r>
              <w:rPr>
                <w:b/>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18,022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20,674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32,336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42,849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b/>
              </w:rPr>
            </w:pPr>
            <w:r>
              <w:rPr>
                <w:b/>
              </w:rPr>
              <w:t>By Vertical:</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Credit cards</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10,955</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60.8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12,734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61.6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19,128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59.2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28,159</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65.7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Personal loans and mortgages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2,088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11.6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2,577</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12.5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4,582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14.2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5,874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Wealth</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2,292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12.7</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2,283</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11.0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3,955</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12.2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3,670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t>8.6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pPr>
            <w:r>
              <w:rPr/>
              <w:t>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2,574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14.3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2,178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10.5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4,466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13.8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4,005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t>9.3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ind w:left="0" w:right="0" w:hanging="0"/>
              <w:jc w:val="left"/>
              <w:rPr/>
            </w:pPr>
            <w:r>
              <w:rPr/>
              <w:t>Other verticals</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113</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0.6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902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4.4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204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0.6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1,140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right"/>
              <w:rPr/>
            </w:pPr>
            <w:r>
              <w:rPr/>
              <w:t>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ind w:left="0" w:right="0" w:hanging="0"/>
              <w:jc w:val="left"/>
              <w:rPr>
                <w:b/>
              </w:rPr>
            </w:pPr>
            <w:r>
              <w:rPr>
                <w:b/>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18,022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20,674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32,336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42,849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July 1, 2024, we transitioned from Universal Analytics to Google Analytics 4. Consequently, we are unable to provide comparable click data for this period following the transition. Please refer to the section titled “Key Performance Metrics and Non-IFRS Financial Measures” for more information regarding the change in methodology.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to the nature of our business, there is often a delay in receiving confirmation of the number of Applications and Approved Applications by our commercial partners. As a result, the disclosed figures may utilize estimations if data is unavailable.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Metrics</w:t>
      </w:r>
    </w:p>
    <w:p>
      <w:pPr>
        <w:pStyle w:val="TextBody"/>
        <w:bidi w:val="0"/>
        <w:spacing w:before="0" w:after="0"/>
        <w:ind w:left="0" w:right="0" w:hanging="0"/>
        <w:jc w:val="left"/>
        <w:rPr>
          <w:caps w:val="false"/>
          <w:smallCaps w:val="false"/>
        </w:rPr>
      </w:pPr>
      <w:r>
        <w:rPr>
          <w:caps w:val="false"/>
          <w:smallCaps w:val="false"/>
        </w:rPr>
        <w:t> </w:t>
      </w:r>
    </w:p>
    <w:tbl>
      <w:tblPr>
        <w:tblW w:w="7084" w:type="dxa"/>
        <w:jc w:val="left"/>
        <w:tblInd w:w="0" w:type="dxa"/>
        <w:tblLayout w:type="fixed"/>
        <w:tblCellMar>
          <w:top w:w="0" w:type="dxa"/>
          <w:left w:w="0" w:type="dxa"/>
          <w:bottom w:w="0" w:type="dxa"/>
          <w:right w:w="0" w:type="dxa"/>
        </w:tblCellMar>
      </w:tblPr>
      <w:tblGrid>
        <w:gridCol w:w="2000"/>
        <w:gridCol w:w="60"/>
        <w:gridCol w:w="110"/>
        <w:gridCol w:w="810"/>
        <w:gridCol w:w="110"/>
        <w:gridCol w:w="110"/>
        <w:gridCol w:w="110"/>
        <w:gridCol w:w="1031"/>
        <w:gridCol w:w="260"/>
        <w:gridCol w:w="60"/>
        <w:gridCol w:w="104"/>
        <w:gridCol w:w="762"/>
        <w:gridCol w:w="104"/>
        <w:gridCol w:w="104"/>
        <w:gridCol w:w="104"/>
        <w:gridCol w:w="970"/>
        <w:gridCol w:w="2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June 30, 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w:t>
              <w:br/>
              <w:t>Ended June 30, 2025</w:t>
            </w:r>
          </w:p>
        </w:tc>
        <w:tc>
          <w:tcPr>
            <w:tcW w:w="2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49" w:type="dxa"/>
            <w:gridSpan w:val="14"/>
            <w:tcBorders/>
            <w:vAlign w:val="center"/>
          </w:tcPr>
          <w:p>
            <w:pPr>
              <w:pStyle w:val="TableContents"/>
              <w:bidi w:val="0"/>
              <w:spacing w:before="0" w:after="283"/>
              <w:jc w:val="center"/>
              <w:rPr/>
            </w:pPr>
            <w:r>
              <w:rPr/>
              <w:t>(in millions, except for percentages)</w:t>
            </w:r>
          </w:p>
        </w:tc>
        <w:tc>
          <w:tcPr>
            <w:tcW w:w="275" w:type="dxa"/>
            <w:tcBorders/>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Unique Users</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21.4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22.0</w:t>
            </w:r>
          </w:p>
        </w:tc>
        <w:tc>
          <w:tcPr>
            <w:tcW w:w="275"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21.8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1.1</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19.4</w:t>
            </w:r>
          </w:p>
        </w:tc>
        <w:tc>
          <w:tcPr>
            <w:tcW w:w="275"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1.8</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32.0</w:t>
            </w:r>
          </w:p>
        </w:tc>
        <w:tc>
          <w:tcPr>
            <w:tcW w:w="275"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283"/>
              <w:jc w:val="right"/>
              <w:rPr/>
            </w:pPr>
            <w:r>
              <w:rPr/>
              <w:t>23.9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26.5</w:t>
            </w:r>
          </w:p>
        </w:tc>
        <w:tc>
          <w:tcPr>
            <w:tcW w:w="275"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b/>
              </w:rPr>
            </w:pPr>
            <w:r>
              <w:rPr>
                <w:b/>
              </w:rPr>
              <w:t>5.3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100.0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b/>
              </w:rPr>
            </w:pPr>
            <w:r>
              <w:rPr>
                <w:b/>
              </w:rPr>
              <w:t>5.5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Traffic</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18.6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6.2</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18.1</w:t>
            </w:r>
          </w:p>
        </w:tc>
        <w:tc>
          <w:tcPr>
            <w:tcW w:w="275"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22.8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20.7</w:t>
            </w:r>
          </w:p>
        </w:tc>
        <w:tc>
          <w:tcPr>
            <w:tcW w:w="275"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Taiwan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34.1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11.6</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33.8</w:t>
            </w:r>
          </w:p>
        </w:tc>
        <w:tc>
          <w:tcPr>
            <w:tcW w:w="275"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Philippines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24.6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275"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b/>
              </w:rPr>
            </w:pPr>
            <w:r>
              <w:rPr>
                <w:b/>
              </w:rPr>
              <w:t>16.7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b/>
              </w:rPr>
            </w:pPr>
            <w:r>
              <w:rPr>
                <w:b/>
              </w:rPr>
              <w:t>34.2</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3005"/>
        <w:gridCol w:w="60"/>
        <w:gridCol w:w="79"/>
        <w:gridCol w:w="424"/>
        <w:gridCol w:w="79"/>
        <w:gridCol w:w="79"/>
        <w:gridCol w:w="79"/>
        <w:gridCol w:w="742"/>
        <w:gridCol w:w="344"/>
        <w:gridCol w:w="79"/>
        <w:gridCol w:w="79"/>
        <w:gridCol w:w="424"/>
        <w:gridCol w:w="79"/>
        <w:gridCol w:w="79"/>
        <w:gridCol w:w="79"/>
        <w:gridCol w:w="742"/>
        <w:gridCol w:w="275"/>
      </w:tblGrid>
      <w:tr>
        <w:trPr/>
        <w:tc>
          <w:tcPr>
            <w:tcW w:w="300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338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275" w:type="dxa"/>
            <w:tcBorders/>
            <w:vAlign w:val="center"/>
          </w:tcPr>
          <w:p>
            <w:pPr>
              <w:pStyle w:val="TableContents"/>
              <w:bidi w:val="0"/>
              <w:spacing w:before="0" w:after="283"/>
              <w:ind w:left="0" w:right="0" w:hanging="0"/>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4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ind w:left="0" w:right="0" w:hanging="0"/>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7" w:type="dxa"/>
            <w:gridSpan w:val="14"/>
            <w:tcBorders/>
            <w:vAlign w:val="center"/>
          </w:tcPr>
          <w:p>
            <w:pPr>
              <w:pStyle w:val="TableContents"/>
              <w:bidi w:val="0"/>
              <w:spacing w:before="0" w:after="283"/>
              <w:jc w:val="center"/>
              <w:rPr/>
            </w:pPr>
            <w:r>
              <w:rPr/>
              <w:t>(in millions, except for percentages)</w:t>
            </w:r>
          </w:p>
        </w:tc>
        <w:tc>
          <w:tcPr>
            <w:tcW w:w="275" w:type="dxa"/>
            <w:tcBorders/>
            <w:vAlign w:val="center"/>
          </w:tcPr>
          <w:p>
            <w:pPr>
              <w:pStyle w:val="TableContents"/>
              <w:bidi w:val="0"/>
              <w:spacing w:before="0" w:after="283"/>
              <w:ind w:left="0" w:right="0" w:hanging="0"/>
              <w:jc w:val="left"/>
              <w:rPr/>
            </w:pPr>
            <w:r>
              <w:rPr/>
              <w:t> </w:t>
            </w:r>
          </w:p>
        </w:tc>
      </w:tr>
      <w:tr>
        <w:trPr/>
        <w:tc>
          <w:tcPr>
            <w:tcW w:w="3005" w:type="dxa"/>
            <w:tcBorders/>
            <w:shd w:fill="FFFFFF" w:val="clear"/>
            <w:vAlign w:val="center"/>
          </w:tcPr>
          <w:p>
            <w:pPr>
              <w:pStyle w:val="TableContents"/>
              <w:bidi w:val="0"/>
              <w:spacing w:before="0" w:after="283"/>
              <w:jc w:val="left"/>
              <w:rPr>
                <w:b/>
              </w:rPr>
            </w:pPr>
            <w:r>
              <w:rPr>
                <w:b/>
              </w:rPr>
              <w:t>MoneyHero Group Members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3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1.4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16.4</w:t>
            </w:r>
          </w:p>
        </w:tc>
        <w:tc>
          <w:tcPr>
            <w:tcW w:w="34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1.3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20.2</w:t>
            </w:r>
          </w:p>
        </w:tc>
        <w:tc>
          <w:tcPr>
            <w:tcW w:w="275" w:type="dxa"/>
            <w:tcBorders/>
            <w:shd w:fill="CCEEFF" w:val="clear"/>
            <w:vAlign w:val="center"/>
          </w:tcPr>
          <w:p>
            <w:pPr>
              <w:pStyle w:val="TableContents"/>
              <w:bidi w:val="0"/>
              <w:spacing w:before="0" w:after="283"/>
              <w:ind w:left="0" w:right="0" w:hanging="0"/>
              <w:jc w:val="left"/>
              <w:rPr/>
            </w:pPr>
            <w:r>
              <w:rPr/>
              <w:t>%</w:t>
            </w:r>
          </w:p>
        </w:tc>
      </w:tr>
      <w:tr>
        <w:trPr/>
        <w:tc>
          <w:tcPr>
            <w:tcW w:w="300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0.9</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10.9</w:t>
            </w:r>
          </w:p>
        </w:tc>
        <w:tc>
          <w:tcPr>
            <w:tcW w:w="34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0.8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12.2</w:t>
            </w:r>
          </w:p>
        </w:tc>
        <w:tc>
          <w:tcPr>
            <w:tcW w:w="275" w:type="dxa"/>
            <w:tcBorders/>
            <w:shd w:fill="FFFFFF" w:val="clear"/>
            <w:vAlign w:val="center"/>
          </w:tcPr>
          <w:p>
            <w:pPr>
              <w:pStyle w:val="TableContents"/>
              <w:bidi w:val="0"/>
              <w:spacing w:before="0" w:after="283"/>
              <w:ind w:left="0" w:right="0" w:hanging="0"/>
              <w:jc w:val="left"/>
              <w:rPr/>
            </w:pPr>
            <w:r>
              <w:rPr/>
              <w:t>%</w:t>
            </w:r>
          </w:p>
        </w:tc>
      </w:tr>
      <w:tr>
        <w:trPr/>
        <w:tc>
          <w:tcPr>
            <w:tcW w:w="300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0.4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4.5</w:t>
            </w:r>
          </w:p>
        </w:tc>
        <w:tc>
          <w:tcPr>
            <w:tcW w:w="34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0.3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4.7</w:t>
            </w:r>
          </w:p>
        </w:tc>
        <w:tc>
          <w:tcPr>
            <w:tcW w:w="275" w:type="dxa"/>
            <w:tcBorders/>
            <w:shd w:fill="CCEEFF" w:val="clear"/>
            <w:vAlign w:val="center"/>
          </w:tcPr>
          <w:p>
            <w:pPr>
              <w:pStyle w:val="TableContents"/>
              <w:bidi w:val="0"/>
              <w:spacing w:before="0" w:after="283"/>
              <w:ind w:left="0" w:right="0" w:hanging="0"/>
              <w:jc w:val="left"/>
              <w:rPr/>
            </w:pPr>
            <w:r>
              <w:rPr/>
              <w:t>%</w:t>
            </w:r>
          </w:p>
        </w:tc>
      </w:tr>
      <w:tr>
        <w:trPr/>
        <w:tc>
          <w:tcPr>
            <w:tcW w:w="300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5.9</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68.3</w:t>
            </w:r>
          </w:p>
        </w:tc>
        <w:tc>
          <w:tcPr>
            <w:tcW w:w="34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3.8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58.3</w:t>
            </w:r>
          </w:p>
        </w:tc>
        <w:tc>
          <w:tcPr>
            <w:tcW w:w="275" w:type="dxa"/>
            <w:tcBorders/>
            <w:shd w:fill="FFFFFF" w:val="clear"/>
            <w:vAlign w:val="center"/>
          </w:tcPr>
          <w:p>
            <w:pPr>
              <w:pStyle w:val="TableContents"/>
              <w:bidi w:val="0"/>
              <w:spacing w:before="0" w:after="283"/>
              <w:ind w:left="0" w:right="0" w:hanging="0"/>
              <w:jc w:val="left"/>
              <w:rPr/>
            </w:pPr>
            <w:r>
              <w:rPr/>
              <w:t>%</w:t>
            </w:r>
          </w:p>
        </w:tc>
      </w:tr>
      <w:tr>
        <w:trPr/>
        <w:tc>
          <w:tcPr>
            <w:tcW w:w="300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34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right"/>
              <w:rPr/>
            </w:pPr>
            <w:r>
              <w:rPr/>
              <w:t>0.3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ind w:left="0" w:right="0" w:hanging="0"/>
              <w:jc w:val="left"/>
              <w:rPr/>
            </w:pPr>
            <w:r>
              <w:rPr/>
              <w:t>%</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344"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July 1, 2024, we transitioned from Universal Analytics to Google Analytics 4. Consequently, we are unable to provide comparable monthly unique users and total traffic for this period following the transition. Please refer to the section titled “Key Performance Metrics and Non-IFRS Financial Measures” for more information regarding the change in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on Friday, September 19, 2025, at 8:00 a.m. Eastern Standard Time / 8:00 p.m. Singapore Standard Time to discuss the Company’s financial results. The MoneyHero Limited (NASDAQ: MNY) Q2 2025 Earnings call can be accessed by registering 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https://edge.media-server.com/mmc/p/gggvq9kr</w:t>
        <w:br/>
        <w:t>Conference call: https://register-conf.media-server.com/register/BI26fb88572d7042ada4ef6611b4f2e8c1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replay will be available on the Investor Relations website for 12 months following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leading personal finance aggregation and comparison platform and a digital insurance brokerage provider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270 commercial partner relationships as at June 30, 2025, and had approximately 5.3 million Monthly Unique Users across its platform for the three months ended June 30,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 and 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Applications” means the total number of product applications submitted by users and confirmed by our commercial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Approved Applications” means the number of applications that have been approved and confirmed by our commercial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period and profit/(loss) before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non-IFRS financial measure defined as profit/(loss) for the period plus tax expenses, depreciation and amortization, interest income, finance costs, impairment of intangible assets, equity-settled share-based payment expenses, transaction expenses, other non-recurring costs related to strategic exercises, changes in the fair value of financial instruments, non-recurring legal fees, and unrealized foreign exchange differences. Adjusted EBITDA Margin is defined as Adjusted EBITDA as a percentage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6"/>
        <w:gridCol w:w="60"/>
        <w:gridCol w:w="76"/>
        <w:gridCol w:w="871"/>
        <w:gridCol w:w="392"/>
        <w:gridCol w:w="76"/>
        <w:gridCol w:w="76"/>
        <w:gridCol w:w="967"/>
        <w:gridCol w:w="298"/>
        <w:gridCol w:w="60"/>
        <w:gridCol w:w="71"/>
        <w:gridCol w:w="817"/>
        <w:gridCol w:w="366"/>
        <w:gridCol w:w="71"/>
        <w:gridCol w:w="71"/>
        <w:gridCol w:w="907"/>
        <w:gridCol w:w="320"/>
      </w:tblGrid>
      <w:tr>
        <w:trPr/>
        <w:tc>
          <w:tcPr>
            <w:tcW w:w="470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320" w:type="dxa"/>
            <w:tcBorders/>
            <w:vAlign w:val="center"/>
          </w:tcPr>
          <w:p>
            <w:pPr>
              <w:pStyle w:val="TableContents"/>
              <w:bidi w:val="0"/>
              <w:spacing w:before="0" w:after="283"/>
              <w:ind w:left="0" w:right="0" w:hanging="180"/>
              <w:jc w:val="left"/>
              <w:rPr/>
            </w:pPr>
            <w:r>
              <w:rPr/>
              <w:t> </w:t>
            </w:r>
          </w:p>
        </w:tc>
      </w:tr>
      <w:tr>
        <w:trPr/>
        <w:tc>
          <w:tcPr>
            <w:tcW w:w="47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9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66"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ind w:left="0" w:right="0" w:hanging="180"/>
              <w:jc w:val="left"/>
              <w:rPr/>
            </w:pPr>
            <w:r>
              <w:rPr/>
              <w:t> </w:t>
            </w:r>
          </w:p>
        </w:tc>
      </w:tr>
      <w:tr>
        <w:trPr/>
        <w:tc>
          <w:tcPr>
            <w:tcW w:w="47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19" w:type="dxa"/>
            <w:gridSpan w:val="14"/>
            <w:tcBorders/>
            <w:vAlign w:val="center"/>
          </w:tcPr>
          <w:p>
            <w:pPr>
              <w:pStyle w:val="TableContents"/>
              <w:bidi w:val="0"/>
              <w:spacing w:before="0" w:after="283"/>
              <w:jc w:val="center"/>
              <w:rPr/>
            </w:pPr>
            <w:r>
              <w:rPr/>
              <w:t>(US$ in thousands)</w:t>
            </w:r>
          </w:p>
        </w:tc>
        <w:tc>
          <w:tcPr>
            <w:tcW w:w="320" w:type="dxa"/>
            <w:tcBorders/>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Profit/(Loss) for the period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rPr>
            </w:pPr>
            <w:r>
              <w:rPr>
                <w:b/>
              </w:rPr>
              <w:t>216</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b/>
              </w:rPr>
            </w:pPr>
            <w:r>
              <w:rPr>
                <w:b/>
              </w:rPr>
              <w:t>(12,223</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(2,233</w:t>
            </w:r>
          </w:p>
        </w:tc>
        <w:tc>
          <w:tcPr>
            <w:tcW w:w="366"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(25,323</w:t>
            </w:r>
          </w:p>
        </w:tc>
        <w:tc>
          <w:tcPr>
            <w:tcW w:w="320" w:type="dxa"/>
            <w:tcBorders/>
            <w:shd w:fill="CCEEFF" w:val="clear"/>
            <w:vAlign w:val="center"/>
          </w:tcPr>
          <w:p>
            <w:pPr>
              <w:pStyle w:val="TableContents"/>
              <w:bidi w:val="0"/>
              <w:spacing w:before="0" w:after="283"/>
              <w:ind w:left="0" w:right="0" w:hanging="180"/>
              <w:jc w:val="left"/>
              <w:rPr>
                <w:b/>
              </w:rPr>
            </w:pPr>
            <w:r>
              <w:rPr>
                <w:b/>
              </w:rPr>
              <w:t>)</w:t>
            </w:r>
          </w:p>
        </w:tc>
      </w:tr>
      <w:tr>
        <w:trPr/>
        <w:tc>
          <w:tcPr>
            <w:tcW w:w="4706"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15</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5</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15</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57</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322</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1,066</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624</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2,047</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(184</w:t>
            </w:r>
          </w:p>
        </w:tc>
        <w:tc>
          <w:tcPr>
            <w:tcW w:w="39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(356</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(315</w:t>
            </w:r>
          </w:p>
        </w:tc>
        <w:tc>
          <w:tcPr>
            <w:tcW w:w="36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(951</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4706"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13</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5</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26</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13</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rPr>
            </w:pPr>
            <w:r>
              <w:rPr>
                <w:b/>
              </w:rPr>
              <w:t>381</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b/>
              </w:rPr>
            </w:pPr>
            <w:r>
              <w:rPr>
                <w:b/>
              </w:rPr>
              <w:t>(11,501</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(1,884</w:t>
            </w:r>
          </w:p>
        </w:tc>
        <w:tc>
          <w:tcPr>
            <w:tcW w:w="366"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(24,156</w:t>
            </w:r>
          </w:p>
        </w:tc>
        <w:tc>
          <w:tcPr>
            <w:tcW w:w="320" w:type="dxa"/>
            <w:tcBorders/>
            <w:shd w:fill="CCEEFF" w:val="clear"/>
            <w:vAlign w:val="center"/>
          </w:tcPr>
          <w:p>
            <w:pPr>
              <w:pStyle w:val="TableContents"/>
              <w:bidi w:val="0"/>
              <w:spacing w:before="0" w:after="283"/>
              <w:ind w:left="0" w:right="0" w:hanging="180"/>
              <w:jc w:val="left"/>
              <w:rPr>
                <w:b/>
              </w:rPr>
            </w:pPr>
            <w:r>
              <w:rPr>
                <w:b/>
              </w:rPr>
              <w:t>)</w:t>
            </w:r>
          </w:p>
        </w:tc>
      </w:tr>
      <w:tr>
        <w:trPr/>
        <w:tc>
          <w:tcPr>
            <w:tcW w:w="4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Non-cash items: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315</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(1,109</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(158</w:t>
            </w:r>
          </w:p>
        </w:tc>
        <w:tc>
          <w:tcPr>
            <w:tcW w:w="36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237</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92</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92</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Equity settled share-based payment arising from employee share incentive scheme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304</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1,015</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745</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1,638</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pPr>
            <w:r>
              <w:rPr/>
              <w:t>Unrealized foreign exchange (gain)/loss,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(2,951</w:t>
            </w:r>
          </w:p>
        </w:tc>
        <w:tc>
          <w:tcPr>
            <w:tcW w:w="39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1,766</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(3,963</w:t>
            </w:r>
          </w:p>
        </w:tc>
        <w:tc>
          <w:tcPr>
            <w:tcW w:w="366"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5,802</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Listing and other non-recurring strategic exercises related items: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Transaction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55</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pPr>
            <w:r>
              <w:rPr/>
              <w:t>Other non-recurring costs related to strategic exercises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61</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61</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Other non-recurring items: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Non-recurring legal fees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323</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497</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(1,951</w:t>
            </w:r>
          </w:p>
        </w:tc>
        <w:tc>
          <w:tcPr>
            <w:tcW w:w="39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(9,336</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(5,259</w:t>
            </w:r>
          </w:p>
        </w:tc>
        <w:tc>
          <w:tcPr>
            <w:tcW w:w="366"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(15,775</w:t>
            </w:r>
          </w:p>
        </w:tc>
        <w:tc>
          <w:tcPr>
            <w:tcW w:w="320" w:type="dxa"/>
            <w:tcBorders/>
            <w:shd w:fill="CCEEFF" w:val="clear"/>
            <w:vAlign w:val="center"/>
          </w:tcPr>
          <w:p>
            <w:pPr>
              <w:pStyle w:val="TableContents"/>
              <w:bidi w:val="0"/>
              <w:spacing w:before="0" w:after="283"/>
              <w:ind w:left="0" w:right="0" w:hanging="180"/>
              <w:jc w:val="left"/>
              <w:rPr>
                <w:b/>
              </w:rPr>
            </w:pPr>
            <w:r>
              <w:rPr>
                <w:b/>
              </w:rPr>
              <w:t>)</w:t>
            </w:r>
          </w:p>
        </w:tc>
      </w:tr>
      <w:tr>
        <w:trPr/>
        <w:tc>
          <w:tcPr>
            <w:tcW w:w="47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4706"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18,022</w:t>
            </w:r>
          </w:p>
        </w:tc>
        <w:tc>
          <w:tcPr>
            <w:tcW w:w="39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20,674</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32,336</w:t>
            </w:r>
          </w:p>
        </w:tc>
        <w:tc>
          <w:tcPr>
            <w:tcW w:w="36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42,849</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4706"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(1,951</w:t>
            </w:r>
          </w:p>
        </w:tc>
        <w:tc>
          <w:tcPr>
            <w:tcW w:w="39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(9,336</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(5,259</w:t>
            </w:r>
          </w:p>
        </w:tc>
        <w:tc>
          <w:tcPr>
            <w:tcW w:w="36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(15,775</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4706" w:type="dxa"/>
            <w:tcBorders/>
            <w:shd w:fill="CCEEFF" w:val="clear"/>
            <w:vAlign w:val="center"/>
          </w:tcPr>
          <w:p>
            <w:pPr>
              <w:pStyle w:val="TableContents"/>
              <w:bidi w:val="0"/>
              <w:spacing w:before="0" w:after="283"/>
              <w:jc w:val="left"/>
              <w:rPr>
                <w:b/>
              </w:rPr>
            </w:pPr>
            <w:r>
              <w:rPr>
                <w:b/>
              </w:rPr>
              <w:t>Adjusted EBITDA Margin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rPr>
            </w:pPr>
            <w:r>
              <w:rPr>
                <w:b/>
              </w:rPr>
              <w:t>(10.8</w:t>
            </w:r>
          </w:p>
        </w:tc>
        <w:tc>
          <w:tcPr>
            <w:tcW w:w="39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b/>
              </w:rPr>
            </w:pPr>
            <w:r>
              <w:rPr>
                <w:b/>
              </w:rPr>
              <w:t>(45.2</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(16.3</w:t>
            </w:r>
          </w:p>
        </w:tc>
        <w:tc>
          <w:tcPr>
            <w:tcW w:w="366"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(36.8</w:t>
            </w:r>
          </w:p>
        </w:tc>
        <w:tc>
          <w:tcPr>
            <w:tcW w:w="32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2024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IR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PR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Profit or Loss and Other Comprehensive (Loss)/Income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93"/>
        <w:gridCol w:w="60"/>
        <w:gridCol w:w="80"/>
        <w:gridCol w:w="908"/>
        <w:gridCol w:w="126"/>
        <w:gridCol w:w="80"/>
        <w:gridCol w:w="80"/>
        <w:gridCol w:w="1008"/>
        <w:gridCol w:w="95"/>
        <w:gridCol w:w="60"/>
        <w:gridCol w:w="73"/>
        <w:gridCol w:w="931"/>
        <w:gridCol w:w="116"/>
        <w:gridCol w:w="73"/>
        <w:gridCol w:w="73"/>
        <w:gridCol w:w="931"/>
        <w:gridCol w:w="118"/>
      </w:tblGrid>
      <w:tr>
        <w:trPr/>
        <w:tc>
          <w:tcPr>
            <w:tcW w:w="5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8" w:type="dxa"/>
            <w:tcBorders/>
            <w:vAlign w:val="center"/>
          </w:tcPr>
          <w:p>
            <w:pPr>
              <w:pStyle w:val="TableContents"/>
              <w:bidi w:val="0"/>
              <w:spacing w:before="0" w:after="283"/>
              <w:jc w:val="left"/>
              <w:rPr/>
            </w:pPr>
            <w:r>
              <w:rPr/>
              <w:t> </w:t>
            </w:r>
          </w:p>
        </w:tc>
      </w:tr>
      <w:tr>
        <w:trPr/>
        <w:tc>
          <w:tcPr>
            <w:tcW w:w="53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8" w:type="dxa"/>
            <w:tcBorders/>
            <w:vAlign w:val="center"/>
          </w:tcPr>
          <w:p>
            <w:pPr>
              <w:pStyle w:val="TableContents"/>
              <w:bidi w:val="0"/>
              <w:spacing w:before="0" w:after="283"/>
              <w:jc w:val="left"/>
              <w:rPr/>
            </w:pPr>
            <w:r>
              <w:rPr/>
              <w:t> </w:t>
            </w:r>
          </w:p>
        </w:tc>
      </w:tr>
      <w:tr>
        <w:trPr/>
        <w:tc>
          <w:tcPr>
            <w:tcW w:w="53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34" w:type="dxa"/>
            <w:gridSpan w:val="14"/>
            <w:tcBorders/>
            <w:vAlign w:val="center"/>
          </w:tcPr>
          <w:p>
            <w:pPr>
              <w:pStyle w:val="TableContents"/>
              <w:bidi w:val="0"/>
              <w:spacing w:before="0" w:after="283"/>
              <w:jc w:val="center"/>
              <w:rPr/>
            </w:pPr>
            <w:r>
              <w:rPr/>
              <w:t>(US$ in thousands, except for loss per share)</w:t>
            </w:r>
          </w:p>
        </w:tc>
        <w:tc>
          <w:tcPr>
            <w:tcW w:w="118" w:type="dxa"/>
            <w:tcBorders/>
            <w:vAlign w:val="center"/>
          </w:tcPr>
          <w:p>
            <w:pPr>
              <w:pStyle w:val="TableContents"/>
              <w:bidi w:val="0"/>
              <w:spacing w:before="0" w:after="283"/>
              <w:jc w:val="left"/>
              <w:rPr/>
            </w:pPr>
            <w:r>
              <w:rPr/>
              <w:t> </w:t>
            </w:r>
          </w:p>
        </w:tc>
      </w:tr>
      <w:tr>
        <w:trPr/>
        <w:tc>
          <w:tcPr>
            <w:tcW w:w="5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18,022</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b/>
              </w:rPr>
            </w:pPr>
            <w:r>
              <w:rPr>
                <w:b/>
              </w:rPr>
              <w:t>20,674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32,336</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42,849</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b/>
              </w:rPr>
            </w:pPr>
            <w:r>
              <w:rPr>
                <w:b/>
              </w:rPr>
              <w:t>Cost and 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(9,101</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(13,795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(15,465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(27,901</w:t>
            </w:r>
          </w:p>
        </w:tc>
        <w:tc>
          <w:tcPr>
            <w:tcW w:w="118" w:type="dxa"/>
            <w:tcBorders/>
            <w:shd w:fill="FFFFFF" w:val="clear"/>
            <w:vAlign w:val="center"/>
          </w:tcPr>
          <w:p>
            <w:pPr>
              <w:pStyle w:val="TableContents"/>
              <w:bidi w:val="0"/>
              <w:spacing w:before="0" w:after="283"/>
              <w:ind w:left="0" w:right="0" w:hanging="0"/>
              <w:jc w:val="left"/>
              <w:rPr/>
            </w:pPr>
            <w:r>
              <w:rPr/>
              <w:t>)</w:t>
            </w:r>
          </w:p>
        </w:tc>
      </w:tr>
      <w:tr>
        <w:trPr/>
        <w:tc>
          <w:tcPr>
            <w:tcW w:w="5393" w:type="dxa"/>
            <w:tcBorders/>
            <w:shd w:fill="CCEEFF" w:val="clear"/>
            <w:vAlign w:val="center"/>
          </w:tcPr>
          <w:p>
            <w:pPr>
              <w:pStyle w:val="TableContents"/>
              <w:bidi w:val="0"/>
              <w:spacing w:before="0" w:after="283"/>
              <w:jc w:val="left"/>
              <w:rPr/>
            </w:pPr>
            <w:r>
              <w:rPr/>
              <w:t>Advertising and marketing 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(4,548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(9,132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(12,714</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Technology costs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(922</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(1,739</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(4,046</w:t>
            </w:r>
          </w:p>
        </w:tc>
        <w:tc>
          <w:tcPr>
            <w:tcW w:w="118" w:type="dxa"/>
            <w:tcBorders/>
            <w:shd w:fill="FFFFFF" w:val="clear"/>
            <w:vAlign w:val="center"/>
          </w:tcPr>
          <w:p>
            <w:pPr>
              <w:pStyle w:val="TableContents"/>
              <w:bidi w:val="0"/>
              <w:spacing w:before="0" w:after="283"/>
              <w:ind w:left="0" w:right="0" w:hanging="0"/>
              <w:jc w:val="left"/>
              <w:rPr/>
            </w:pPr>
            <w:r>
              <w:rPr/>
              <w:t>)</w:t>
            </w:r>
          </w:p>
        </w:tc>
      </w:tr>
      <w:tr>
        <w:trPr/>
        <w:tc>
          <w:tcPr>
            <w:tcW w:w="5393" w:type="dxa"/>
            <w:tcBorders/>
            <w:shd w:fill="CCEEFF" w:val="clear"/>
            <w:vAlign w:val="center"/>
          </w:tcPr>
          <w:p>
            <w:pPr>
              <w:pStyle w:val="TableContents"/>
              <w:bidi w:val="0"/>
              <w:spacing w:before="0" w:after="283"/>
              <w:jc w:val="left"/>
              <w:rPr/>
            </w:pPr>
            <w:r>
              <w:rPr/>
              <w:t>Employee benefit 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(3,700</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(6,712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(8,054</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(12,590</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General, administrative and other operating expenses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(2,352</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(3,222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(4,543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(5,609</w:t>
            </w:r>
          </w:p>
        </w:tc>
        <w:tc>
          <w:tcPr>
            <w:tcW w:w="118" w:type="dxa"/>
            <w:tcBorders/>
            <w:shd w:fill="FFFFFF" w:val="clear"/>
            <w:vAlign w:val="center"/>
          </w:tcPr>
          <w:p>
            <w:pPr>
              <w:pStyle w:val="TableContents"/>
              <w:bidi w:val="0"/>
              <w:spacing w:before="0" w:after="283"/>
              <w:ind w:left="0" w:right="0" w:hanging="0"/>
              <w:jc w:val="left"/>
              <w:rPr/>
            </w:pPr>
            <w:r>
              <w:rPr/>
              <w:t>)</w:t>
            </w:r>
          </w:p>
        </w:tc>
      </w:tr>
      <w:tr>
        <w:trPr/>
        <w:tc>
          <w:tcPr>
            <w:tcW w:w="5393" w:type="dxa"/>
            <w:tcBorders/>
            <w:shd w:fill="CCEEFF" w:val="clear"/>
            <w:vAlign w:val="center"/>
          </w:tcPr>
          <w:p>
            <w:pPr>
              <w:pStyle w:val="TableContents"/>
              <w:bidi w:val="0"/>
              <w:spacing w:before="0" w:after="283"/>
              <w:jc w:val="left"/>
              <w:rPr/>
            </w:pPr>
            <w:r>
              <w:rPr/>
              <w:t>Foreign exchange differences, net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2,969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3,923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(5,959</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b/>
              </w:rPr>
            </w:pPr>
            <w:r>
              <w:rPr>
                <w:b/>
              </w:rPr>
              <w:t>Operating income/(loss)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366</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b/>
              </w:rPr>
            </w:pPr>
            <w:r>
              <w:rPr>
                <w:b/>
              </w:rPr>
              <w:t>(13,679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(2,674</w:t>
            </w:r>
          </w:p>
        </w:tc>
        <w:tc>
          <w:tcPr>
            <w:tcW w:w="116"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rPr>
            </w:pPr>
            <w:r>
              <w:rPr>
                <w:b/>
              </w:rPr>
              <w:t>(25,970</w:t>
            </w:r>
          </w:p>
        </w:tc>
        <w:tc>
          <w:tcPr>
            <w:tcW w:w="118" w:type="dxa"/>
            <w:tcBorders/>
            <w:shd w:fill="CCEEFF" w:val="clear"/>
            <w:vAlign w:val="center"/>
          </w:tcPr>
          <w:p>
            <w:pPr>
              <w:pStyle w:val="TableContents"/>
              <w:bidi w:val="0"/>
              <w:spacing w:before="0" w:after="283"/>
              <w:ind w:left="0" w:right="0" w:hanging="0"/>
              <w:jc w:val="left"/>
              <w:rPr>
                <w:b/>
              </w:rPr>
            </w:pPr>
            <w:r>
              <w:rPr>
                <w:b/>
              </w:rPr>
              <w:t>)</w:t>
            </w:r>
          </w:p>
        </w:tc>
      </w:tr>
      <w:tr>
        <w:trPr/>
        <w:tc>
          <w:tcPr>
            <w:tcW w:w="53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b/>
              </w:rPr>
            </w:pPr>
            <w:r>
              <w:rPr>
                <w:b/>
              </w:rPr>
              <w:t>Other income/(expenses):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192</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323</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954</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(13</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(26</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(13</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(315</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158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(237</w:t>
            </w:r>
          </w:p>
        </w:tc>
        <w:tc>
          <w:tcPr>
            <w:tcW w:w="118" w:type="dxa"/>
            <w:tcBorders/>
            <w:shd w:fill="FFFFFF" w:val="clear"/>
            <w:vAlign w:val="center"/>
          </w:tcPr>
          <w:p>
            <w:pPr>
              <w:pStyle w:val="TableContents"/>
              <w:bidi w:val="0"/>
              <w:spacing w:before="0" w:after="283"/>
              <w:ind w:left="0" w:right="0" w:hanging="0"/>
              <w:jc w:val="left"/>
              <w:rPr/>
            </w:pPr>
            <w:r>
              <w:rPr/>
              <w:t>)</w:t>
            </w:r>
          </w:p>
        </w:tc>
      </w:tr>
      <w:tr>
        <w:trPr/>
        <w:tc>
          <w:tcPr>
            <w:tcW w:w="53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b/>
              </w:rPr>
            </w:pPr>
            <w:r>
              <w:rPr>
                <w:b/>
              </w:rPr>
              <w:t>Profit/(Loss) before tax</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b/>
              </w:rPr>
            </w:pPr>
            <w:r>
              <w:rPr>
                <w:b/>
              </w:rPr>
              <w:t>230</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(12,217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b/>
              </w:rPr>
            </w:pPr>
            <w:r>
              <w:rPr>
                <w:b/>
              </w:rPr>
              <w:t>(2,219</w:t>
            </w:r>
          </w:p>
        </w:tc>
        <w:tc>
          <w:tcPr>
            <w:tcW w:w="116"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b/>
              </w:rPr>
            </w:pPr>
            <w:r>
              <w:rPr>
                <w:b/>
              </w:rPr>
              <w:t>(25,265</w:t>
            </w:r>
          </w:p>
        </w:tc>
        <w:tc>
          <w:tcPr>
            <w:tcW w:w="118" w:type="dxa"/>
            <w:tcBorders/>
            <w:shd w:fill="FFFFFF" w:val="clear"/>
            <w:vAlign w:val="center"/>
          </w:tcPr>
          <w:p>
            <w:pPr>
              <w:pStyle w:val="TableContents"/>
              <w:bidi w:val="0"/>
              <w:spacing w:before="0" w:after="283"/>
              <w:ind w:left="0" w:right="0" w:hanging="0"/>
              <w:jc w:val="left"/>
              <w:rPr>
                <w:b/>
              </w:rPr>
            </w:pPr>
            <w:r>
              <w:rPr>
                <w:b/>
              </w:rPr>
              <w:t>)</w:t>
            </w:r>
          </w:p>
        </w:tc>
      </w:tr>
      <w:tr>
        <w:trPr/>
        <w:tc>
          <w:tcPr>
            <w:tcW w:w="5393"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b/>
              </w:rPr>
            </w:pPr>
            <w:r>
              <w:rPr>
                <w:b/>
              </w:rPr>
              <w:t>Profit/(Loss) for the period</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216</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(12,223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(2,233</w:t>
            </w:r>
          </w:p>
        </w:tc>
        <w:tc>
          <w:tcPr>
            <w:tcW w:w="116"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(25,323</w:t>
            </w:r>
          </w:p>
        </w:tc>
        <w:tc>
          <w:tcPr>
            <w:tcW w:w="118" w:type="dxa"/>
            <w:tcBorders/>
            <w:shd w:fill="FFFFFF" w:val="clear"/>
            <w:vAlign w:val="center"/>
          </w:tcPr>
          <w:p>
            <w:pPr>
              <w:pStyle w:val="TableContents"/>
              <w:bidi w:val="0"/>
              <w:spacing w:before="0" w:after="283"/>
              <w:ind w:left="0" w:right="0" w:hanging="0"/>
              <w:jc w:val="left"/>
              <w:rPr>
                <w:b/>
              </w:rPr>
            </w:pPr>
            <w:r>
              <w:rPr>
                <w:b/>
              </w:rPr>
              <w:t>)</w:t>
            </w:r>
          </w:p>
        </w:tc>
      </w:tr>
      <w:tr>
        <w:trPr/>
        <w:tc>
          <w:tcPr>
            <w:tcW w:w="53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b/>
              </w:rPr>
            </w:pPr>
            <w:r>
              <w:rPr>
                <w:b/>
              </w:rPr>
              <w:t>Other comprehensive (loss)/income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5393" w:type="dxa"/>
            <w:tcBorders/>
            <w:shd w:fill="CCEEFF" w:val="clear"/>
            <w:vAlign w:val="center"/>
          </w:tcPr>
          <w:p>
            <w:pPr>
              <w:pStyle w:val="TableContents"/>
              <w:bidi w:val="0"/>
              <w:spacing w:before="0" w:after="283"/>
              <w:jc w:val="left"/>
              <w:rPr/>
            </w:pPr>
            <w:r>
              <w:rPr/>
              <w:t>Other comprehensive (loss)/income that may be classified to profit or loss in subsequent periods (net of tax):</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(2,440</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(3,818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4,992</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5393" w:type="dxa"/>
            <w:tcBorders/>
            <w:shd w:fill="FFFFFF" w:val="clear"/>
            <w:vAlign w:val="center"/>
          </w:tcPr>
          <w:p>
            <w:pPr>
              <w:pStyle w:val="TableContents"/>
              <w:bidi w:val="0"/>
              <w:spacing w:before="0" w:after="283"/>
              <w:jc w:val="left"/>
              <w:rPr/>
            </w:pPr>
            <w:r>
              <w:rPr/>
              <w:t>Other comprehensive (loss)/income that will not be reclassified to profit or loss in subsequent periods (net of tax):</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pPr>
            <w:r>
              <w:rPr/>
              <w:t>Remeasurement gains on defined benefit plan</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Other comprehensive (loss)/income for the period, net of tax</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(2,400</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(3,779</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4,987</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b/>
              </w:rPr>
            </w:pPr>
            <w:r>
              <w:rPr>
                <w:b/>
              </w:rPr>
              <w:t>Total comprehensive loss for the period, net of tax</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(2,185</w:t>
            </w:r>
          </w:p>
        </w:tc>
        <w:tc>
          <w:tcPr>
            <w:tcW w:w="126" w:type="dxa"/>
            <w:tcBorders/>
            <w:shd w:fill="FFFFFF" w:val="clear"/>
            <w:vAlign w:val="center"/>
          </w:tcPr>
          <w:p>
            <w:pPr>
              <w:pStyle w:val="TableContents"/>
              <w:bidi w:val="0"/>
              <w:spacing w:before="0" w:after="283"/>
              <w:jc w:val="lef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(10,950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(6,012</w:t>
            </w:r>
          </w:p>
        </w:tc>
        <w:tc>
          <w:tcPr>
            <w:tcW w:w="116"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(20,336</w:t>
            </w:r>
          </w:p>
        </w:tc>
        <w:tc>
          <w:tcPr>
            <w:tcW w:w="118" w:type="dxa"/>
            <w:tcBorders/>
            <w:shd w:fill="FFFFFF" w:val="clear"/>
            <w:vAlign w:val="center"/>
          </w:tcPr>
          <w:p>
            <w:pPr>
              <w:pStyle w:val="TableContents"/>
              <w:bidi w:val="0"/>
              <w:spacing w:before="0" w:after="283"/>
              <w:ind w:left="0" w:right="0" w:hanging="0"/>
              <w:jc w:val="left"/>
              <w:rPr>
                <w:b/>
              </w:rPr>
            </w:pPr>
            <w:r>
              <w:rPr>
                <w:b/>
              </w:rPr>
              <w:t>)</w:t>
            </w:r>
          </w:p>
        </w:tc>
      </w:tr>
      <w:tr>
        <w:trPr/>
        <w:tc>
          <w:tcPr>
            <w:tcW w:w="53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r>
      <w:tr>
        <w:trPr/>
        <w:tc>
          <w:tcPr>
            <w:tcW w:w="5393" w:type="dxa"/>
            <w:tcBorders/>
            <w:shd w:fill="FFFFFF" w:val="clear"/>
            <w:vAlign w:val="center"/>
          </w:tcPr>
          <w:p>
            <w:pPr>
              <w:pStyle w:val="TableContents"/>
              <w:bidi w:val="0"/>
              <w:spacing w:before="0" w:after="283"/>
              <w:jc w:val="left"/>
              <w:rPr/>
            </w:pPr>
            <w:r>
              <w:rPr/>
              <w:t>Earnings/(Loss) per share attributable to ordinary equity holders of the parent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r>
      <w:tr>
        <w:trPr/>
        <w:tc>
          <w:tcPr>
            <w:tcW w:w="5393"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0.01</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(0.05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(0.62</w:t>
            </w:r>
          </w:p>
        </w:tc>
        <w:tc>
          <w:tcPr>
            <w:tcW w:w="118" w:type="dxa"/>
            <w:tcBorders/>
            <w:shd w:fill="CCEEFF" w:val="clear"/>
            <w:vAlign w:val="center"/>
          </w:tcPr>
          <w:p>
            <w:pPr>
              <w:pStyle w:val="TableContents"/>
              <w:bidi w:val="0"/>
              <w:spacing w:before="0" w:after="283"/>
              <w:ind w:left="0" w:right="0" w:hanging="0"/>
              <w:jc w:val="left"/>
              <w:rPr/>
            </w:pPr>
            <w:r>
              <w:rPr/>
              <w:t>)</w:t>
            </w:r>
          </w:p>
        </w:tc>
      </w:tr>
      <w:tr>
        <w:trPr/>
        <w:tc>
          <w:tcPr>
            <w:tcW w:w="5393"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0.00</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(0.05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(0.62</w:t>
            </w:r>
          </w:p>
        </w:tc>
        <w:tc>
          <w:tcPr>
            <w:tcW w:w="11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7918" w:type="dxa"/>
        <w:jc w:val="left"/>
        <w:tblInd w:w="0" w:type="dxa"/>
        <w:tblLayout w:type="fixed"/>
        <w:tblCellMar>
          <w:top w:w="0" w:type="dxa"/>
          <w:left w:w="0" w:type="dxa"/>
          <w:bottom w:w="0" w:type="dxa"/>
          <w:right w:w="0" w:type="dxa"/>
        </w:tblCellMar>
      </w:tblPr>
      <w:tblGrid>
        <w:gridCol w:w="5375"/>
        <w:gridCol w:w="60"/>
        <w:gridCol w:w="70"/>
        <w:gridCol w:w="804"/>
        <w:gridCol w:w="60"/>
        <w:gridCol w:w="60"/>
        <w:gridCol w:w="113"/>
        <w:gridCol w:w="1301"/>
        <w:gridCol w:w="75"/>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5375" w:type="dxa"/>
            <w:tcBorders>
              <w:bottom w:val="single" w:sz="12" w:space="0" w:color="000000"/>
            </w:tcBorders>
            <w:tcMar>
              <w:bottom w:w="28" w:type="dxa"/>
            </w:tcMar>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Non-current financial asset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600</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1,018</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744</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b/>
              </w:rPr>
            </w:pPr>
            <w:r>
              <w:rPr>
                <w:b/>
              </w:rPr>
              <w:t>3,148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b/>
              </w:rPr>
            </w:pPr>
            <w:r>
              <w:rPr>
                <w:b/>
              </w:rPr>
              <w:t>2,601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16,047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13,538</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17,588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11,825</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Prepayments and other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10,149</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Pledged bank deposits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185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30,173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42,522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rPr>
            </w:pPr>
            <w:r>
              <w:rPr>
                <w:b/>
              </w:rPr>
              <w:t>74,274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b/>
              </w:rPr>
            </w:pPr>
            <w:r>
              <w:rPr>
                <w:b/>
              </w:rPr>
              <w:t>78,282</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Accounts and other payables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32,065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30,209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1,393</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442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rPr>
            </w:pPr>
            <w:r>
              <w:rPr>
                <w:b/>
              </w:rPr>
              <w:t>33,961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b/>
              </w:rPr>
            </w:pPr>
            <w:r>
              <w:rPr>
                <w:b/>
              </w:rPr>
              <w:t>32,147</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CURRENT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rPr>
            </w:pPr>
            <w:r>
              <w:rPr>
                <w:b/>
              </w:rPr>
              <w:t>40,313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b/>
              </w:rPr>
            </w:pPr>
            <w:r>
              <w:rPr>
                <w:b/>
              </w:rPr>
              <w:t>46,135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ASSETS LESS CURRENT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rPr>
            </w:pPr>
            <w:r>
              <w:rPr>
                <w:b/>
              </w:rPr>
              <w:t>43,461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b/>
              </w:rPr>
            </w:pPr>
            <w:r>
              <w:rPr>
                <w:b/>
              </w:rPr>
              <w:t>48,736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294</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Provisions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30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Defined benefit liabilities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185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48,227</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pPr>
            <w:r>
              <w:rPr/>
              <w:t>Issued capital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42,927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48,223</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48,227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4665</Words>
  <Characters>26029</Characters>
  <CharactersWithSpaces>31995</CharactersWithSpaces>
  <Paragraphs>2980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