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82026_120849.xml.htm"/>
      <w:bookmarkStart w:id="1" w:name="ksform408082026_1208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118"/>
        <w:gridCol w:w="3063"/>
        <w:gridCol w:w="3024"/>
      </w:tblGrid>
      <w:tr>
        <w:trPr/>
        <w:tc>
          <w:tcPr>
            <w:tcW w:w="411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pPr>
                  <w:hyperlink r:id="rId4">
                    <w:r>
                      <w:rPr>
                        <w:rStyle w:val="InternetLink"/>
                      </w:rPr>
                      <w:t>Thakur Shravan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MONEYHERO LIMITED</w:t>
                  </w:r>
                </w:p>
              </w:tc>
            </w:tr>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SHENTON WAY #18-15, EON SHENTON</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3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SINGAPORE</w:t>
                  </w:r>
                </w:p>
              </w:tc>
              <w:tc>
                <w:tcPr>
                  <w:tcW w:w="133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S079118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32"/>
              <w:gridCol w:w="1333"/>
              <w:gridCol w:w="1333"/>
            </w:tblGrid>
            <w:tr>
              <w:trPr/>
              <w:tc>
                <w:tcPr>
                  <w:tcW w:w="13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98"/>
            </w:tblGrid>
            <w:tr>
              <w:trPr/>
              <w:tc>
                <w:tcPr>
                  <w:tcW w:w="399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SINGAPORE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063"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MoneyHero Ltd</w:t>
              </w:r>
            </w:hyperlink>
            <w:r>
              <w:rPr/>
              <w:t xml:space="preserve"> [ </w:t>
            </w:r>
            <w:r>
              <w:rPr>
                <w:rFonts w:ascii="Times;serif" w:hAnsi="Times;serif"/>
                <w:color w:val="0000FF"/>
                <w:sz w:val="24"/>
                <w:shd w:fill="FFFFFF" w:val="clear"/>
              </w:rPr>
              <w:t>MNY</w:t>
            </w:r>
            <w:r>
              <w:rPr/>
              <w:t xml:space="preserve"> ] </w:t>
              <w:br/>
            </w:r>
            <w:r>
              <w:rPr>
                <w:rFonts w:ascii="arial;helvetica;sans-serif" w:hAnsi="arial;helvetica;sans-serif"/>
                <w:sz w:val="20"/>
              </w:rPr>
              <w:t>Foreign Trading Symbol</w:t>
            </w:r>
          </w:p>
        </w:tc>
        <w:tc>
          <w:tcPr>
            <w:tcW w:w="3024"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5"/>
              <w:gridCol w:w="1017"/>
              <w:gridCol w:w="435"/>
              <w:gridCol w:w="1017"/>
            </w:tblGrid>
            <w:tr>
              <w:trPr/>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5"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04"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41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063"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06/25/2026</w:t>
            </w:r>
          </w:p>
        </w:tc>
        <w:tc>
          <w:tcPr>
            <w:tcW w:w="3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411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063"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2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34"/>
              <w:gridCol w:w="2470"/>
            </w:tblGrid>
            <w:tr>
              <w:trPr/>
              <w:tc>
                <w:tcPr>
                  <w:tcW w:w="43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4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34"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5"/>
        <w:gridCol w:w="906"/>
        <w:gridCol w:w="774"/>
        <w:gridCol w:w="601"/>
        <w:gridCol w:w="351"/>
        <w:gridCol w:w="979"/>
        <w:gridCol w:w="460"/>
        <w:gridCol w:w="623"/>
        <w:gridCol w:w="1173"/>
        <w:gridCol w:w="1005"/>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06/25/2026</w:t>
            </w:r>
            <w:r>
              <w:rPr>
                <w:rFonts w:ascii="Times;serif" w:hAnsi="Times;serif"/>
                <w:color w:val="008000"/>
                <w:position w:val="7"/>
                <w:sz w:val="16"/>
                <w:sz w:val="20"/>
                <w:shd w:fill="FFFFFF" w:val="clear"/>
              </w:rPr>
              <w:t>(1)</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12,051</w:t>
            </w:r>
            <w:r>
              <w:rPr>
                <w:rFonts w:ascii="Times;serif" w:hAnsi="Times;serif"/>
                <w:color w:val="008000"/>
                <w:position w:val="7"/>
                <w:sz w:val="16"/>
                <w:sz w:val="20"/>
                <w:shd w:fill="FFFFFF" w:val="clear"/>
              </w:rPr>
              <w:t>(2)</w:t>
            </w:r>
          </w:p>
        </w:tc>
        <w:tc>
          <w:tcPr>
            <w:tcW w:w="4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151,046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is being reported late due to inadvertent administrative oversight.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restricted share units (the "RSUs"). Each RSU represents a contingent right to receive one Class A ordinary share of the Issuer upon settlement. 1/3rd of the RSUs fully vested on June 26, 2026, and the remaining RSUs will vest in equal installments on February 16, 2027 and February 15, 2028, subject to the Reporting Person's continued service with the Issuer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Ming Hei Jasper Yip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3533" TargetMode="External"/><Relationship Id="rId5" Type="http://schemas.openxmlformats.org/officeDocument/2006/relationships/hyperlink" Target="http://www.sec.gov/cgi-bin/browse-edgar?action=getcompany&amp;CIK=000197404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3537</Characters>
  <CharactersWithSpaces>4117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