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04851-6k_moneyhero.htm"/>
      <w:bookmarkStart w:id="1" w:name="ksea02048516k_moneyhero"/>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001-41838</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MoneyHero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Shenton Way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#18-15, EON Shenton, S079118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19" w:right="3819"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3819" w:right="3819" w:hanging="0"/>
        <w:jc w:val="right"/>
        <w:rPr>
          <w:caps w:val="false"/>
          <w:smallCaps w:val="false"/>
        </w:rPr>
      </w:pPr>
      <w:r>
        <w:rPr>
          <w:caps w:val="false"/>
          <w:smallCaps w:val="false"/>
        </w:rPr>
        <w:t> </w:t>
      </w:r>
    </w:p>
    <w:tbl>
      <w:tblPr>
        <w:tblW w:w="2620" w:type="dxa"/>
        <w:jc w:val="left"/>
        <w:tblInd w:w="0" w:type="dxa"/>
        <w:tblLayout w:type="fixed"/>
        <w:tblCellMar>
          <w:top w:w="0" w:type="dxa"/>
          <w:left w:w="0" w:type="dxa"/>
          <w:bottom w:w="28" w:type="dxa"/>
          <w:right w:w="0" w:type="dxa"/>
        </w:tblCellMar>
      </w:tblPr>
      <w:tblGrid>
        <w:gridCol w:w="665"/>
        <w:gridCol w:w="60"/>
        <w:gridCol w:w="1895"/>
      </w:tblGrid>
      <w:tr>
        <w:trPr/>
        <w:tc>
          <w:tcPr>
            <w:tcW w:w="665" w:type="dxa"/>
            <w:tcBorders>
              <w:bottom w:val="single" w:sz="12" w:space="0" w:color="000000"/>
            </w:tcBorders>
            <w:vAlign w:val="center"/>
          </w:tcPr>
          <w:p>
            <w:pPr>
              <w:pStyle w:val="TableContents"/>
              <w:bidi w:val="0"/>
              <w:spacing w:before="0" w:after="283"/>
              <w:jc w:val="left"/>
              <w:rPr>
                <w:b/>
                <w:sz w:val="20"/>
              </w:rPr>
            </w:pPr>
            <w:r>
              <w:rPr>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left"/>
              <w:rPr>
                <w:b/>
                <w:sz w:val="20"/>
              </w:rPr>
            </w:pPr>
            <w:r>
              <w:rPr>
                <w:b/>
                <w:sz w:val="20"/>
              </w:rPr>
              <w:t>Description of Exhibit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pPr>
            <w:r>
              <w:rPr/>
              <w:t> </w:t>
            </w:r>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left"/>
              <w:rPr/>
            </w:pPr>
            <w:hyperlink w:anchor="ea020485101ex99-1_money.htm">
              <w:r>
                <w:rPr>
                  <w:rStyle w:val="InternetLink"/>
                  <w:strike w:val="false"/>
                  <w:dstrike w:val="false"/>
                  <w:sz w:val="20"/>
                  <w:u w:val="none"/>
                  <w:effect w:val="none"/>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80" w:right="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80" w:right="80" w:hanging="0"/>
        <w:jc w:val="left"/>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1700"/>
        <w:gridCol w:w="590"/>
        <w:gridCol w:w="1955"/>
      </w:tblGrid>
      <w:tr>
        <w:trPr/>
        <w:tc>
          <w:tcPr>
            <w:tcW w:w="170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b/>
                <w:sz w:val="20"/>
              </w:rPr>
            </w:pPr>
            <w:r>
              <w:rPr>
                <w:b/>
                <w:sz w:val="20"/>
              </w:rPr>
              <w:t>MONEYHERO LIMITED</w:t>
            </w:r>
          </w:p>
        </w:tc>
      </w:tr>
      <w:tr>
        <w:trPr/>
        <w:tc>
          <w:tcPr>
            <w:tcW w:w="170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sz w:val="20"/>
              </w:rPr>
            </w:pPr>
            <w:r>
              <w:rPr>
                <w:sz w:val="20"/>
              </w:rPr>
              <w:t>Date: April 29, 2024</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Rohith Murthy</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955" w:type="dxa"/>
            <w:tcBorders/>
            <w:vAlign w:val="center"/>
          </w:tcPr>
          <w:p>
            <w:pPr>
              <w:pStyle w:val="TableContents"/>
              <w:bidi w:val="0"/>
              <w:spacing w:before="0" w:after="283"/>
              <w:jc w:val="left"/>
              <w:rPr>
                <w:sz w:val="20"/>
              </w:rPr>
            </w:pPr>
            <w:r>
              <w:rPr>
                <w:sz w:val="20"/>
              </w:rPr>
              <w:t>Rohith Murthy</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283"/>
        <w:jc w:val="left"/>
        <w:rPr/>
      </w:pPr>
      <w:r>
        <w:rPr/>
        <w:t> </w:t>
      </w:r>
    </w:p>
    <w:p>
      <w:pPr>
        <w:pStyle w:val="TextBody"/>
        <w:bidi w:val="0"/>
        <w:jc w:val="center"/>
        <w:rPr/>
      </w:pPr>
      <w:r>
        <w:rPr/>
        <w:t>2</w:t>
      </w:r>
    </w:p>
    <w:p>
      <w:pPr>
        <w:pStyle w:val="TextBody"/>
        <w:bidi w:val="0"/>
        <w:jc w:val="left"/>
        <w:rPr>
          <w:bdr w:val="single" w:sz="12" w:space="1" w:color="000000"/>
        </w:rPr>
      </w:pPr>
      <w:r>
        <w:rPr>
          <w:bdr w:val="single" w:sz="12" w:space="1" w:color="000000"/>
        </w:rPr>
        <w:t> </w:t>
      </w:r>
    </w:p>
    <w:p>
      <w:pPr>
        <w:pStyle w:val="TextBody"/>
        <w:bidi w:val="0"/>
        <w:jc w:val="right"/>
        <w:rPr>
          <w:rFonts w:ascii="Times New Roman;Times;Serif" w:hAnsi="Times New Roman;Times;Serif"/>
          <w:b/>
        </w:rPr>
      </w:pPr>
      <w:bookmarkStart w:id="2" w:name="ea020485101ex99-1_money.htm"/>
      <w:bookmarkStart w:id="3" w:name="ksea020485101ex991_money"/>
      <w:bookmarkEnd w:id="2"/>
      <w:bookmarkEnd w:id="3"/>
      <w:r>
        <w:rPr>
          <w:rFonts w:ascii="Times New Roman;Times;Serif" w:hAnsi="Times New Roman;Times;Serif"/>
          <w:b/>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705225" cy="103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05225" cy="1038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MoneyHero Group Reports Fourth Quarter and Full Year 2023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Fourth quarter revenue of US$26.4 million, up 53% Year-Over-Year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 year revenue of US$80.7 million, up 18% Year-Over-Year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 April 29, 2024 -- MoneyHero Limited (Nasdaq: MNY) (“MoneyHero” or the “Company”), a market leading personal finance and digital insurance aggregation and comparison platform in Greater Southeast Asia, today announced financial results for its fourth quarter and full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Rohith Murthy, Chief Executive Officer, stated: “In a landmark quarter that capped off a monumental year for the business, MoneyHero not only reinforced its market leadership in Asia’s leading financial hubs of Singapore and Hong Kong, but also continued to capture significant market share away from our closest competitors, further establishing MoneyHero as the preferred consumer finance platform for top banks, as well as insurance partners across Greater Southeast Asia. Our focus on expanding insurance offerings, starting with travel insurance, has significantly increased direct purchases from our platform. This not only improves the user experience and engagement, but also our unit economics, enabling us to offer a wider range of relevant insurance products. As a result, our insurance revenue more than doubled this past year, underlining our growing focus on this rapidly expanding market. Beyond our core businesses and legacy markets, our progress in the Philippines was also especially remarkable, with revenue increasing 64% year-over-year in the fourth quarter, showcasing our ability to scale and appeal broadly across the emerging region. Additionally, Creatory, our innovative B2B2C platform, showed solid performance over the past year and now contributes to more than 17% of our group revenue, up from 12% last year. This reflects the strength of our diversified business model and our adeptness at quickly capitalizing on evolving digital content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Importantly, we ended 2023 by upgrading most of our leading comparison channels to a more advanced technology platform which also consolidated our comprehensive data into a streamlined system, enhancing both operational efficiency and user experience. As we look ahead in 2024 and beyond, our strategic direction is concentrated on four fundamental pillars: 1) Best Site—enhancing our platform to become the most user-friendly destination for customers, improving user journeys and tools; 2) Operational Efficiency—we are streamlining workflows, reducing manual operations, and increasing value for stakeholders through automation and stronger utilization of our integrated data platform; 3) Insurance—just as we have done with our personal finance offerings, we aim to become the premier choice in Greater Southeast Asia in helping consumers identify and acquire any general insurance product, broadening our range and simplifying the acquisition process for our customers; 4) Shareholder Value—following our public listing in 2023, MoneyHero is now an organization with a relentless dedication to building trust for our shareholders, and ultimately, working hard to drive value for them every day. Building off an accomplished year in 2023, we are now more than ever better positioned for the future, backed by a world-class platform, elevated technology and user offerings, and stronger access to capital than any of our peers. I am proud to announce these results and look forward to the remainder of 2024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Shaun Kraft, Chief Financial Officer and Chief Operating Officer, added: “MoneyHero delivered 18% year-over-year revenue growth in 2023, while improving Adjusted EBITDA loss to US$(6.8) million down from $(15.6) million in 2022. In the fourth quarter, we successfully completed our deSPAC transaction, raising capital to support our aggressive growth strategy and continue expanding our market share across Greater Southeast Asia. As of December 31, 2023, we had a debt-free balance sheet with US$68.6 million in cash, making MoneyHero by far the best capitalized player in its space. Fueled by this capital position and our dominant existing footprint, MoneyHero is focused on expanding its market leadership position through both organic and M&amp;A initiatives. This strategy has already begun to show positive results with Q4 2023 revenue increasing 53% year-over-year.”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2023 Financial Highlights</w:t>
      </w:r>
    </w:p>
    <w:p>
      <w:pPr>
        <w:pStyle w:val="TextBody"/>
        <w:bidi w:val="0"/>
        <w:spacing w:before="0" w:after="0"/>
        <w:ind w:left="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17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 increased by 53% year-over-year to US$26.4 million in the fourth quarter of 2023</w:t>
            </w:r>
          </w:p>
        </w:tc>
      </w:tr>
    </w:tbl>
    <w:p>
      <w:pPr>
        <w:pStyle w:val="TextBody"/>
        <w:bidi w:val="0"/>
        <w:spacing w:before="0" w:after="283"/>
        <w:jc w:val="left"/>
        <w:rPr/>
      </w:pPr>
      <w:r>
        <w:rPr/>
        <w:t> </w:t>
      </w:r>
    </w:p>
    <w:tbl>
      <w:tblPr>
        <w:tblW w:w="9348" w:type="dxa"/>
        <w:jc w:val="left"/>
        <w:tblInd w:w="0" w:type="dxa"/>
        <w:tblLayout w:type="fixed"/>
        <w:tblCellMar>
          <w:top w:w="0" w:type="dxa"/>
          <w:left w:w="0" w:type="dxa"/>
          <w:bottom w:w="0" w:type="dxa"/>
          <w:right w:w="0" w:type="dxa"/>
        </w:tblCellMar>
      </w:tblPr>
      <w:tblGrid>
        <w:gridCol w:w="38"/>
        <w:gridCol w:w="95"/>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Online financial comparison platforms revenue increased 44% year-over-year to US$21.8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Creatory, MoneyHero’s B2B business, revenue increased by 117% year-over-year and contributed to 17% of Group revenue in the fourth quarter of 2023, as compared to 12% in the prior year period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bl>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 by markets: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Singapore revenue increased 94% year-over-year to US$12.1 million in the fourth quarter, with the strongest growth coming from the credit cards and insurance verticals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Hong Kong revenue increased 46% year-over-year to US$8.4 million in the fourth quarter, with the strongest growth coming from the credit cards and insurance verticals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Philippines revenue increased 64% year-over-year to US$3.9 million in the fourth quarter, with the strongest growth achieved in the credit cards vertical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Taiwan revenue decreased 22% year-over-year to US$2.0 million in the fourth quarter due to paused product offerings for certain key clients; however, the situation improved in the fourth quarter, with revenue increasing 103% from the third quarter of 2023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 from insurance products increased by 106% year-over-year to US$1.9 million in the fourth quarter of 2023, contributing 7.3% of Group revenue, as compared to 5.4% in the prior year period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loss increased to US$(4.6) million from US$(2.5) million in the fourth quarter of 2023, driven primarily by increased investment into marketing and customer acquisition as part of the Company’s strategy to expand market share and increase brand awareness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2023 Financial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 increased by 18% year-over-year to US$80.7 million for the full year of 2023, with a significant acceleration of revenue growth achieved in the second half of 2023</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Creatory, MoneyHero’s B2B business, revenue increased 47% year-over-year to US$13.7 million for the full year of 2023, contributing 17.0% of Group revenue, as compared to 13.7% in the prior year</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 from insurance products increased by 120% year-over-year to US$5.9 million for the full year of 2023, contributing 7.3% of Group revenue, as compared to 3.9% in the prior year</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loss decreased to US$(6.8) million for the full year of 2023 from US$(15.6) million in the prior year. Adjusted EBITDA margin improved to (8.5)% for the full year of 2023 from (23.0)% in the prior year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loss decreased to US$(30.0) million in the full year of 2023, from US$(41.0) million in the prior year. Operating loss for 2023 included significant transaction costs associated with the listing as well as certain write-offs of intangible assets which are further detailed in the Adjusted EBITDA reconciliation below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Loss for the full year 2023 of US$(172.6) million includes US$143.4 million in non-operating expenses associated with share-based payments to effect the merger with Bridgetown Holdings, finance costs and changes in fair value of financial instruments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fourth quarter of 2023, the Company repaid all interest-bearing borrowings, and settled warrant liabilities and other derivative financial instruments through the issuance of Class A shares in MoneyHero Limited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December 31, 2023, the Company had a debt-free balance sheet with US$68.6 million in 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2023 Operational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Monthly Unique Users grew 12% year-over-year to 8.7 million for the full year of 2023 on the back of strong user growth in both Taiwan and the Philippines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MoneyHero Group Members, to whom we can provide more tailored product information and recommendations, grew 41% year-over-year to 5.3 million as of December 31, 2023 due to member growth across Singapore, Hong Kong, Taiwan and the Philippines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Approved Application volumes increased 60% year-over-year for the full year of 2023 to 636,000 driven by strong growth in the Company’s insurance products</w:t>
            </w:r>
          </w:p>
        </w:tc>
      </w:tr>
    </w:tbl>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capital structure of the Company as of December 31, 2023:</w:t>
      </w:r>
    </w:p>
    <w:p>
      <w:pPr>
        <w:pStyle w:val="TextBody"/>
        <w:bidi w:val="0"/>
        <w:spacing w:before="0" w:after="0"/>
        <w:ind w:left="0" w:right="0" w:hanging="0"/>
        <w:jc w:val="both"/>
        <w:rPr>
          <w:caps w:val="false"/>
          <w:smallCaps w:val="false"/>
        </w:rPr>
      </w:pPr>
      <w:r>
        <w:rPr>
          <w:caps w:val="false"/>
          <w:smallCaps w:val="false"/>
        </w:rPr>
        <w:t> </w:t>
      </w:r>
    </w:p>
    <w:tbl>
      <w:tblPr>
        <w:tblW w:w="4615" w:type="dxa"/>
        <w:jc w:val="left"/>
        <w:tblInd w:w="0" w:type="dxa"/>
        <w:tblLayout w:type="fixed"/>
        <w:tblCellMar>
          <w:top w:w="0" w:type="dxa"/>
          <w:left w:w="0" w:type="dxa"/>
          <w:bottom w:w="28" w:type="dxa"/>
          <w:right w:w="0" w:type="dxa"/>
        </w:tblCellMar>
      </w:tblPr>
      <w:tblGrid>
        <w:gridCol w:w="3200"/>
        <w:gridCol w:w="60"/>
        <w:gridCol w:w="66"/>
        <w:gridCol w:w="1214"/>
        <w:gridCol w:w="75"/>
      </w:tblGrid>
      <w:tr>
        <w:trPr/>
        <w:tc>
          <w:tcPr>
            <w:tcW w:w="3200" w:type="dxa"/>
            <w:tcBorders>
              <w:bottom w:val="single" w:sz="12" w:space="0" w:color="000000"/>
            </w:tcBorders>
            <w:vAlign w:val="center"/>
          </w:tcPr>
          <w:p>
            <w:pPr>
              <w:pStyle w:val="TableContents"/>
              <w:bidi w:val="0"/>
              <w:spacing w:before="0" w:after="283"/>
              <w:jc w:val="both"/>
              <w:rPr>
                <w:b/>
                <w:i w:val="false"/>
                <w:caps w:val="false"/>
                <w:smallCaps w:val="false"/>
              </w:rPr>
            </w:pPr>
            <w:r>
              <w:rPr>
                <w:b/>
                <w:i w:val="false"/>
                <w:caps w:val="false"/>
                <w:smallCaps w:val="false"/>
              </w:rPr>
              <w:t>Share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gridSpan w:val="2"/>
            <w:tcBorders>
              <w:bottom w:val="single" w:sz="12"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Issued and</w:t>
              <w:br/>
              <w:t>Outstanding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shd w:fill="CCEEFF" w:val="clear"/>
            <w:tcMar>
              <w:bottom w:w="0" w:type="dxa"/>
            </w:tcMar>
            <w:vAlign w:val="center"/>
          </w:tcPr>
          <w:p>
            <w:pPr>
              <w:pStyle w:val="TableContents"/>
              <w:bidi w:val="0"/>
              <w:spacing w:before="0" w:after="283"/>
              <w:jc w:val="both"/>
              <w:rPr/>
            </w:pPr>
            <w:r>
              <w:rPr/>
              <w:t>Class A Ordinary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14" w:type="dxa"/>
            <w:tcBorders/>
            <w:shd w:fill="CCEEFF" w:val="clear"/>
            <w:tcMar>
              <w:bottom w:w="0" w:type="dxa"/>
            </w:tcMar>
            <w:vAlign w:val="center"/>
          </w:tcPr>
          <w:p>
            <w:pPr>
              <w:pStyle w:val="TableContents"/>
              <w:bidi w:val="0"/>
              <w:spacing w:before="0" w:after="283"/>
              <w:jc w:val="right"/>
              <w:rPr/>
            </w:pPr>
            <w:r>
              <w:rPr/>
              <w:t>25,280,667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shd w:fill="FFFFFF" w:val="clear"/>
            <w:tcMar>
              <w:bottom w:w="0" w:type="dxa"/>
            </w:tcMar>
            <w:vAlign w:val="center"/>
          </w:tcPr>
          <w:p>
            <w:pPr>
              <w:pStyle w:val="TableContents"/>
              <w:bidi w:val="0"/>
              <w:spacing w:before="0" w:after="283"/>
              <w:jc w:val="both"/>
              <w:rPr/>
            </w:pPr>
            <w:r>
              <w:rPr/>
              <w:t>Class B Ordinary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14" w:type="dxa"/>
            <w:tcBorders/>
            <w:shd w:fill="FFFFFF" w:val="clear"/>
            <w:tcMar>
              <w:bottom w:w="0" w:type="dxa"/>
            </w:tcMar>
            <w:vAlign w:val="center"/>
          </w:tcPr>
          <w:p>
            <w:pPr>
              <w:pStyle w:val="TableContents"/>
              <w:bidi w:val="0"/>
              <w:spacing w:before="0" w:after="283"/>
              <w:jc w:val="right"/>
              <w:rPr/>
            </w:pPr>
            <w:r>
              <w:rPr/>
              <w:t>13,254,838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both"/>
              <w:rPr/>
            </w:pPr>
            <w:r>
              <w:rPr/>
              <w:t>Preference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14" w:type="dxa"/>
            <w:tcBorders/>
            <w:shd w:fill="CCEEFF" w:val="clear"/>
            <w:tcMar>
              <w:bottom w:w="0" w:type="dxa"/>
            </w:tcMar>
            <w:vAlign w:val="center"/>
          </w:tcPr>
          <w:p>
            <w:pPr>
              <w:pStyle w:val="TableContents"/>
              <w:bidi w:val="0"/>
              <w:spacing w:before="0" w:after="283"/>
              <w:jc w:val="right"/>
              <w:rPr/>
            </w:pPr>
            <w:r>
              <w:rPr/>
              <w:t>3,466,820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shd w:fill="FFFFFF" w:val="clear"/>
            <w:tcMar>
              <w:bottom w:w="0" w:type="dxa"/>
            </w:tcMar>
            <w:vAlign w:val="center"/>
          </w:tcPr>
          <w:p>
            <w:pPr>
              <w:pStyle w:val="TableContents"/>
              <w:bidi w:val="0"/>
              <w:spacing w:before="0" w:after="283"/>
              <w:jc w:val="both"/>
              <w:rPr/>
            </w:pPr>
            <w:r>
              <w:rPr/>
              <w:t>Total Issued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14" w:type="dxa"/>
            <w:tcBorders/>
            <w:shd w:fill="FFFFFF" w:val="clear"/>
            <w:tcMar>
              <w:bottom w:w="0" w:type="dxa"/>
            </w:tcMar>
            <w:vAlign w:val="center"/>
          </w:tcPr>
          <w:p>
            <w:pPr>
              <w:pStyle w:val="TableContents"/>
              <w:bidi w:val="0"/>
              <w:spacing w:before="0" w:after="283"/>
              <w:jc w:val="right"/>
              <w:rPr/>
            </w:pPr>
            <w:r>
              <w:rPr/>
              <w:t>42,002,325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 Equity Options</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14" w:type="dxa"/>
            <w:tcBorders/>
            <w:shd w:fill="CCEEFF" w:val="clear"/>
            <w:tcMar>
              <w:bottom w:w="0" w:type="dxa"/>
            </w:tcMar>
            <w:vAlign w:val="center"/>
          </w:tcPr>
          <w:p>
            <w:pPr>
              <w:pStyle w:val="TableContents"/>
              <w:bidi w:val="0"/>
              <w:spacing w:before="0" w:after="283"/>
              <w:jc w:val="right"/>
              <w:rPr/>
            </w:pPr>
            <w:r>
              <w:rPr/>
              <w:t>2,879,571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Issued and Issuable Shares</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214" w:type="dxa"/>
            <w:tcBorders/>
            <w:shd w:fill="FFFFFF" w:val="clear"/>
            <w:tcMar>
              <w:bottom w:w="0" w:type="dxa"/>
            </w:tcMar>
            <w:vAlign w:val="center"/>
          </w:tcPr>
          <w:p>
            <w:pPr>
              <w:pStyle w:val="TableContents"/>
              <w:bidi w:val="0"/>
              <w:spacing w:before="0" w:after="283"/>
              <w:jc w:val="right"/>
              <w:rPr/>
            </w:pPr>
            <w:r>
              <w:rPr/>
              <w:t>44,881,896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8515" w:type="dxa"/>
        <w:jc w:val="left"/>
        <w:tblInd w:w="0" w:type="dxa"/>
        <w:tblLayout w:type="fixed"/>
        <w:tblCellMar>
          <w:top w:w="0" w:type="dxa"/>
          <w:left w:w="0" w:type="dxa"/>
          <w:bottom w:w="0" w:type="dxa"/>
          <w:right w:w="0" w:type="dxa"/>
        </w:tblCellMar>
      </w:tblPr>
      <w:tblGrid>
        <w:gridCol w:w="125"/>
        <w:gridCol w:w="839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83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unexercised and exercised options, but not yet issued as of December 31, 2023.</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Public </w:t>
            </w:r>
            <w:r>
              <w:rPr>
                <w:rFonts w:ascii="Times New Roman;Times;Serif" w:hAnsi="Times New Roman;Times;Serif"/>
                <w:shd w:fill="FFFFFF" w:val="clear"/>
              </w:rPr>
              <w:t>Warrants, Sponsor Warrants, Class A-1 Warrants, Class A-2 Warrants and Class A-3 Warrants are excluded since they are out of money.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tbl>
      <w:tblPr>
        <w:tblW w:w="9228" w:type="dxa"/>
        <w:jc w:val="left"/>
        <w:tblInd w:w="0" w:type="dxa"/>
        <w:tblLayout w:type="fixed"/>
        <w:tblCellMar>
          <w:top w:w="0" w:type="dxa"/>
          <w:left w:w="0" w:type="dxa"/>
          <w:bottom w:w="28" w:type="dxa"/>
          <w:right w:w="0" w:type="dxa"/>
        </w:tblCellMar>
      </w:tblPr>
      <w:tblGrid>
        <w:gridCol w:w="4190"/>
        <w:gridCol w:w="60"/>
        <w:gridCol w:w="103"/>
        <w:gridCol w:w="1174"/>
        <w:gridCol w:w="164"/>
        <w:gridCol w:w="103"/>
        <w:gridCol w:w="103"/>
        <w:gridCol w:w="1174"/>
        <w:gridCol w:w="95"/>
        <w:gridCol w:w="60"/>
        <w:gridCol w:w="66"/>
        <w:gridCol w:w="753"/>
        <w:gridCol w:w="105"/>
        <w:gridCol w:w="66"/>
        <w:gridCol w:w="66"/>
        <w:gridCol w:w="836"/>
        <w:gridCol w:w="110"/>
      </w:tblGrid>
      <w:tr>
        <w:trPr/>
        <w:tc>
          <w:tcPr>
            <w:tcW w:w="4190" w:type="dxa"/>
            <w:tcBorders>
              <w:bottom w:val="single" w:sz="12" w:space="0" w:color="000000"/>
            </w:tcBorders>
            <w:vAlign w:val="center"/>
          </w:tcPr>
          <w:p>
            <w:pPr>
              <w:pStyle w:val="TableContents"/>
              <w:bidi w:val="0"/>
              <w:spacing w:before="0" w:after="283"/>
              <w:jc w:val="left"/>
              <w:rPr>
                <w:b/>
                <w:i w:val="false"/>
                <w:caps w:val="false"/>
                <w:smallCaps w:val="false"/>
              </w:rPr>
            </w:pPr>
            <w:r>
              <w:rPr>
                <w:b/>
                <w:i w:val="false"/>
                <w:caps w:val="false"/>
                <w:smallCaps w:val="false"/>
              </w:rPr>
              <w:t>Summary of financial / KPI performance</w:t>
            </w:r>
          </w:p>
        </w:tc>
        <w:tc>
          <w:tcPr>
            <w:tcW w:w="60" w:type="dxa"/>
            <w:tcBorders/>
            <w:tcMar>
              <w:bottom w:w="0" w:type="dxa"/>
            </w:tcMar>
            <w:vAlign w:val="center"/>
          </w:tcPr>
          <w:p>
            <w:pPr>
              <w:pStyle w:val="TableContents"/>
              <w:bidi w:val="0"/>
              <w:spacing w:before="0" w:after="283"/>
              <w:jc w:val="center"/>
              <w:rPr/>
            </w:pPr>
            <w:r>
              <w:rPr/>
              <w:t> </w:t>
            </w:r>
          </w:p>
        </w:tc>
        <w:tc>
          <w:tcPr>
            <w:tcW w:w="2821" w:type="dxa"/>
            <w:gridSpan w:val="6"/>
            <w:tcBorders>
              <w:bottom w:val="single" w:sz="12" w:space="0" w:color="000000"/>
            </w:tcBorders>
            <w:vAlign w:val="center"/>
          </w:tcPr>
          <w:p>
            <w:pPr>
              <w:pStyle w:val="TableContents"/>
              <w:bidi w:val="0"/>
              <w:spacing w:before="0" w:after="283"/>
              <w:jc w:val="center"/>
              <w:rPr/>
            </w:pPr>
            <w:r>
              <w:rPr/>
              <w:t xml:space="preserve">For the Three Months Ended </w:t>
              <w:br/>
              <w:t>December 31,</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92" w:type="dxa"/>
            <w:gridSpan w:val="6"/>
            <w:tcBorders>
              <w:bottom w:val="single" w:sz="12" w:space="0" w:color="000000"/>
            </w:tcBorders>
            <w:vAlign w:val="center"/>
          </w:tcPr>
          <w:p>
            <w:pPr>
              <w:pStyle w:val="TableContents"/>
              <w:bidi w:val="0"/>
              <w:spacing w:before="0" w:after="283"/>
              <w:jc w:val="center"/>
              <w:rPr/>
            </w:pPr>
            <w:r>
              <w:rPr/>
              <w:t>For the Year Ended</w:t>
              <w:br/>
              <w:t>December 31,</w:t>
            </w:r>
          </w:p>
        </w:tc>
        <w:tc>
          <w:tcPr>
            <w:tcW w:w="110" w:type="dxa"/>
            <w:tcBorders/>
            <w:tcMar>
              <w:bottom w:w="0" w:type="dxa"/>
            </w:tcMar>
            <w:vAlign w:val="center"/>
          </w:tcPr>
          <w:p>
            <w:pPr>
              <w:pStyle w:val="TableContents"/>
              <w:bidi w:val="0"/>
              <w:spacing w:before="0" w:after="283"/>
              <w:jc w:val="center"/>
              <w:rPr/>
            </w:pPr>
            <w:r>
              <w:rPr/>
              <w:t> </w:t>
            </w:r>
          </w:p>
        </w:tc>
      </w:tr>
      <w:tr>
        <w:trPr/>
        <w:tc>
          <w:tcPr>
            <w:tcW w:w="41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77" w:type="dxa"/>
            <w:gridSpan w:val="2"/>
            <w:tcBorders>
              <w:bottom w:val="single" w:sz="12" w:space="0" w:color="000000"/>
            </w:tcBorders>
            <w:vAlign w:val="center"/>
          </w:tcPr>
          <w:p>
            <w:pPr>
              <w:pStyle w:val="TableContents"/>
              <w:bidi w:val="0"/>
              <w:spacing w:before="0" w:after="283"/>
              <w:jc w:val="center"/>
              <w:rPr/>
            </w:pPr>
            <w:r>
              <w:rPr/>
              <w:t>2023</w:t>
            </w:r>
          </w:p>
        </w:tc>
        <w:tc>
          <w:tcPr>
            <w:tcW w:w="164" w:type="dxa"/>
            <w:tcBorders/>
            <w:tcMar>
              <w:bottom w:w="0" w:type="dxa"/>
            </w:tcMar>
            <w:vAlign w:val="center"/>
          </w:tcPr>
          <w:p>
            <w:pPr>
              <w:pStyle w:val="TableContents"/>
              <w:bidi w:val="0"/>
              <w:spacing w:before="0" w:after="283"/>
              <w:jc w:val="center"/>
              <w:rPr/>
            </w:pPr>
            <w:r>
              <w:rPr/>
              <w:t> </w:t>
            </w:r>
          </w:p>
        </w:tc>
        <w:tc>
          <w:tcPr>
            <w:tcW w:w="103" w:type="dxa"/>
            <w:tcBorders/>
            <w:tcMar>
              <w:bottom w:w="0" w:type="dxa"/>
            </w:tcMar>
            <w:vAlign w:val="center"/>
          </w:tcPr>
          <w:p>
            <w:pPr>
              <w:pStyle w:val="TableContents"/>
              <w:bidi w:val="0"/>
              <w:spacing w:before="0" w:after="283"/>
              <w:jc w:val="center"/>
              <w:rPr/>
            </w:pPr>
            <w:r>
              <w:rPr/>
              <w:t> </w:t>
            </w:r>
          </w:p>
        </w:tc>
        <w:tc>
          <w:tcPr>
            <w:tcW w:w="1277" w:type="dxa"/>
            <w:gridSpan w:val="2"/>
            <w:tcBorders>
              <w:bottom w:val="single" w:sz="12" w:space="0" w:color="000000"/>
            </w:tcBorders>
            <w:vAlign w:val="center"/>
          </w:tcPr>
          <w:p>
            <w:pPr>
              <w:pStyle w:val="TableContents"/>
              <w:bidi w:val="0"/>
              <w:spacing w:before="0" w:after="283"/>
              <w:jc w:val="center"/>
              <w:rPr/>
            </w:pPr>
            <w:r>
              <w:rPr/>
              <w:t>2022</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9" w:type="dxa"/>
            <w:gridSpan w:val="2"/>
            <w:tcBorders>
              <w:bottom w:val="single" w:sz="12" w:space="0" w:color="000000"/>
            </w:tcBorders>
            <w:vAlign w:val="center"/>
          </w:tcPr>
          <w:p>
            <w:pPr>
              <w:pStyle w:val="TableContents"/>
              <w:bidi w:val="0"/>
              <w:spacing w:before="0" w:after="283"/>
              <w:jc w:val="center"/>
              <w:rPr/>
            </w:pPr>
            <w:r>
              <w:rPr/>
              <w:t>2023</w:t>
            </w:r>
          </w:p>
        </w:tc>
        <w:tc>
          <w:tcPr>
            <w:tcW w:w="105" w:type="dxa"/>
            <w:tcBorders/>
            <w:tcMar>
              <w:bottom w:w="0" w:type="dxa"/>
            </w:tcMar>
            <w:vAlign w:val="center"/>
          </w:tcPr>
          <w:p>
            <w:pPr>
              <w:pStyle w:val="TableContents"/>
              <w:bidi w:val="0"/>
              <w:spacing w:before="0" w:after="283"/>
              <w:jc w:val="center"/>
              <w:rPr/>
            </w:pPr>
            <w:r>
              <w:rPr/>
              <w:t> </w:t>
            </w:r>
          </w:p>
        </w:tc>
        <w:tc>
          <w:tcPr>
            <w:tcW w:w="66" w:type="dxa"/>
            <w:tcBorders/>
            <w:tcMar>
              <w:bottom w:w="0" w:type="dxa"/>
            </w:tcMar>
            <w:vAlign w:val="center"/>
          </w:tcPr>
          <w:p>
            <w:pPr>
              <w:pStyle w:val="TableContents"/>
              <w:bidi w:val="0"/>
              <w:spacing w:before="0" w:after="283"/>
              <w:jc w:val="center"/>
              <w:rPr/>
            </w:pPr>
            <w:r>
              <w:rPr/>
              <w:t> </w:t>
            </w:r>
          </w:p>
        </w:tc>
        <w:tc>
          <w:tcPr>
            <w:tcW w:w="902" w:type="dxa"/>
            <w:gridSpan w:val="2"/>
            <w:tcBorders>
              <w:bottom w:val="single" w:sz="12" w:space="0" w:color="000000"/>
            </w:tcBorders>
            <w:vAlign w:val="center"/>
          </w:tcPr>
          <w:p>
            <w:pPr>
              <w:pStyle w:val="TableContents"/>
              <w:bidi w:val="0"/>
              <w:spacing w:before="0" w:after="283"/>
              <w:jc w:val="center"/>
              <w:rPr/>
            </w:pPr>
            <w:r>
              <w:rPr/>
              <w:t>2022</w:t>
            </w:r>
          </w:p>
        </w:tc>
        <w:tc>
          <w:tcPr>
            <w:tcW w:w="110" w:type="dxa"/>
            <w:tcBorders/>
            <w:tcMar>
              <w:bottom w:w="0" w:type="dxa"/>
            </w:tcMar>
            <w:vAlign w:val="center"/>
          </w:tcPr>
          <w:p>
            <w:pPr>
              <w:pStyle w:val="TableContents"/>
              <w:bidi w:val="0"/>
              <w:spacing w:before="0" w:after="283"/>
              <w:jc w:val="center"/>
              <w:rPr/>
            </w:pPr>
            <w:r>
              <w:rPr/>
              <w:t> </w:t>
            </w:r>
          </w:p>
        </w:tc>
      </w:tr>
      <w:tr>
        <w:trPr/>
        <w:tc>
          <w:tcPr>
            <w:tcW w:w="41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8" w:type="dxa"/>
            <w:gridSpan w:val="14"/>
            <w:tcBorders/>
            <w:tcMar>
              <w:bottom w:w="0" w:type="dxa"/>
            </w:tcMar>
            <w:vAlign w:val="center"/>
          </w:tcPr>
          <w:p>
            <w:pPr>
              <w:pStyle w:val="TableContents"/>
              <w:bidi w:val="0"/>
              <w:spacing w:before="0" w:after="283"/>
              <w:jc w:val="center"/>
              <w:rPr/>
            </w:pPr>
            <w:r>
              <w:rPr/>
              <w:t>(US$ in thousands, unless otherwise noted)</w:t>
            </w:r>
          </w:p>
        </w:tc>
        <w:tc>
          <w:tcPr>
            <w:tcW w:w="110" w:type="dxa"/>
            <w:tcBorders/>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26,397</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17,237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right"/>
              <w:rPr/>
            </w:pPr>
            <w:r>
              <w:rPr/>
              <w:t>80,671</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pPr>
            <w:r>
              <w:rPr/>
              <w:t>68,132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(4,643</w:t>
            </w:r>
          </w:p>
        </w:tc>
        <w:tc>
          <w:tcPr>
            <w:tcW w:w="164" w:type="dxa"/>
            <w:tcBorders/>
            <w:shd w:fill="FFFFFF" w:val="clear"/>
            <w:tcMar>
              <w:bottom w:w="0" w:type="dxa"/>
            </w:tcMar>
            <w:vAlign w:val="center"/>
          </w:tcPr>
          <w:p>
            <w:pPr>
              <w:pStyle w:val="TableContents"/>
              <w:bidi w:val="0"/>
              <w:spacing w:before="0" w:after="283"/>
              <w:jc w:val="left"/>
              <w:rPr/>
            </w:pPr>
            <w:r>
              <w:rPr/>
              <w:t>)</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(2,512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753" w:type="dxa"/>
            <w:tcBorders/>
            <w:shd w:fill="FFFFFF" w:val="clear"/>
            <w:tcMar>
              <w:bottom w:w="0" w:type="dxa"/>
            </w:tcMar>
            <w:vAlign w:val="center"/>
          </w:tcPr>
          <w:p>
            <w:pPr>
              <w:pStyle w:val="TableContents"/>
              <w:bidi w:val="0"/>
              <w:spacing w:before="0" w:after="283"/>
              <w:jc w:val="right"/>
              <w:rPr/>
            </w:pPr>
            <w:r>
              <w:rPr/>
              <w:t>(6,842</w:t>
            </w:r>
          </w:p>
        </w:tc>
        <w:tc>
          <w:tcPr>
            <w:tcW w:w="105" w:type="dxa"/>
            <w:tcBorders/>
            <w:shd w:fill="FFFFFF" w:val="clear"/>
            <w:tcMar>
              <w:bottom w:w="0" w:type="dxa"/>
            </w:tcMar>
            <w:vAlign w:val="center"/>
          </w:tcPr>
          <w:p>
            <w:pPr>
              <w:pStyle w:val="TableContents"/>
              <w:bidi w:val="0"/>
              <w:spacing w:before="0" w:after="283"/>
              <w:jc w:val="left"/>
              <w:rPr/>
            </w:pPr>
            <w:r>
              <w:rPr/>
              <w:t>)</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36" w:type="dxa"/>
            <w:tcBorders/>
            <w:shd w:fill="FFFFFF" w:val="clear"/>
            <w:tcMar>
              <w:bottom w:w="0" w:type="dxa"/>
            </w:tcMar>
            <w:vAlign w:val="center"/>
          </w:tcPr>
          <w:p>
            <w:pPr>
              <w:pStyle w:val="TableContents"/>
              <w:bidi w:val="0"/>
              <w:spacing w:before="0" w:after="283"/>
              <w:jc w:val="right"/>
              <w:rPr/>
            </w:pPr>
            <w:r>
              <w:rPr/>
              <w:t>(15,648</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righ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Clicks (in thousands)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2,247</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1,607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753" w:type="dxa"/>
            <w:tcBorders/>
            <w:shd w:fill="FFFFFF" w:val="clear"/>
            <w:tcMar>
              <w:bottom w:w="0" w:type="dxa"/>
            </w:tcMar>
            <w:vAlign w:val="center"/>
          </w:tcPr>
          <w:p>
            <w:pPr>
              <w:pStyle w:val="TableContents"/>
              <w:bidi w:val="0"/>
              <w:spacing w:before="0" w:after="283"/>
              <w:jc w:val="right"/>
              <w:rPr/>
            </w:pPr>
            <w:r>
              <w:rPr/>
              <w:t>8,222</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36" w:type="dxa"/>
            <w:tcBorders/>
            <w:shd w:fill="FFFFFF" w:val="clear"/>
            <w:tcMar>
              <w:bottom w:w="0" w:type="dxa"/>
            </w:tcMar>
            <w:vAlign w:val="center"/>
          </w:tcPr>
          <w:p>
            <w:pPr>
              <w:pStyle w:val="TableContents"/>
              <w:bidi w:val="0"/>
              <w:spacing w:before="0" w:after="283"/>
              <w:jc w:val="right"/>
              <w:rPr/>
            </w:pPr>
            <w:r>
              <w:rPr/>
              <w:t>5,843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Applications (in thousands)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504</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339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753" w:type="dxa"/>
            <w:tcBorders/>
            <w:shd w:fill="CCEEFF" w:val="clear"/>
            <w:tcMar>
              <w:bottom w:w="0" w:type="dxa"/>
            </w:tcMar>
            <w:vAlign w:val="center"/>
          </w:tcPr>
          <w:p>
            <w:pPr>
              <w:pStyle w:val="TableContents"/>
              <w:bidi w:val="0"/>
              <w:spacing w:before="0" w:after="283"/>
              <w:jc w:val="right"/>
              <w:rPr/>
            </w:pPr>
            <w:r>
              <w:rPr/>
              <w:t>1,713</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pPr>
            <w:r>
              <w:rPr/>
              <w:t>1,303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Approved Applications (in thousands)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204</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110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753" w:type="dxa"/>
            <w:tcBorders/>
            <w:shd w:fill="FFFFFF" w:val="clear"/>
            <w:tcMar>
              <w:bottom w:w="0" w:type="dxa"/>
            </w:tcMar>
            <w:vAlign w:val="center"/>
          </w:tcPr>
          <w:p>
            <w:pPr>
              <w:pStyle w:val="TableContents"/>
              <w:bidi w:val="0"/>
              <w:spacing w:before="0" w:after="283"/>
              <w:jc w:val="right"/>
              <w:rPr/>
            </w:pPr>
            <w:r>
              <w:rPr/>
              <w:t>636</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36" w:type="dxa"/>
            <w:tcBorders/>
            <w:shd w:fill="FFFFFF" w:val="clear"/>
            <w:tcMar>
              <w:bottom w:w="0" w:type="dxa"/>
            </w:tcMar>
            <w:vAlign w:val="center"/>
          </w:tcPr>
          <w:p>
            <w:pPr>
              <w:pStyle w:val="TableContents"/>
              <w:bidi w:val="0"/>
              <w:spacing w:before="0" w:after="283"/>
              <w:jc w:val="right"/>
              <w:rPr/>
            </w:pPr>
            <w:r>
              <w:rPr/>
              <w:t>397</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50"/>
        <w:gridCol w:w="60"/>
        <w:gridCol w:w="60"/>
        <w:gridCol w:w="680"/>
        <w:gridCol w:w="95"/>
        <w:gridCol w:w="60"/>
        <w:gridCol w:w="60"/>
        <w:gridCol w:w="560"/>
        <w:gridCol w:w="95"/>
        <w:gridCol w:w="60"/>
        <w:gridCol w:w="60"/>
        <w:gridCol w:w="680"/>
        <w:gridCol w:w="95"/>
        <w:gridCol w:w="60"/>
        <w:gridCol w:w="60"/>
        <w:gridCol w:w="560"/>
        <w:gridCol w:w="95"/>
        <w:gridCol w:w="60"/>
        <w:gridCol w:w="60"/>
        <w:gridCol w:w="680"/>
        <w:gridCol w:w="60"/>
        <w:gridCol w:w="60"/>
        <w:gridCol w:w="60"/>
        <w:gridCol w:w="560"/>
        <w:gridCol w:w="60"/>
        <w:gridCol w:w="60"/>
        <w:gridCol w:w="60"/>
        <w:gridCol w:w="680"/>
        <w:gridCol w:w="60"/>
        <w:gridCol w:w="60"/>
        <w:gridCol w:w="60"/>
        <w:gridCol w:w="560"/>
        <w:gridCol w:w="75"/>
      </w:tblGrid>
      <w:tr>
        <w:trPr/>
        <w:tc>
          <w:tcPr>
            <w:tcW w:w="3650" w:type="dxa"/>
            <w:tcBorders>
              <w:bottom w:val="single" w:sz="12" w:space="0" w:color="000000"/>
            </w:tcBorders>
            <w:vAlign w:val="center"/>
          </w:tcPr>
          <w:p>
            <w:pPr>
              <w:pStyle w:val="TableContents"/>
              <w:bidi w:val="0"/>
              <w:spacing w:before="0" w:after="283"/>
              <w:ind w:left="0" w:right="0" w:hanging="0"/>
              <w:jc w:val="left"/>
              <w:rPr>
                <w:b/>
                <w:i w:val="false"/>
                <w:caps w:val="false"/>
                <w:smallCaps w:val="false"/>
              </w:rPr>
            </w:pPr>
            <w:r>
              <w:rPr>
                <w:b/>
                <w:i w:val="false"/>
                <w:caps w:val="false"/>
                <w:smallCaps w:val="false"/>
              </w:rPr>
              <w:t>Revenue breakdown</w:t>
            </w:r>
          </w:p>
        </w:tc>
        <w:tc>
          <w:tcPr>
            <w:tcW w:w="60" w:type="dxa"/>
            <w:tcBorders/>
            <w:tcMar>
              <w:bottom w:w="0" w:type="dxa"/>
            </w:tcMar>
            <w:vAlign w:val="center"/>
          </w:tcPr>
          <w:p>
            <w:pPr>
              <w:pStyle w:val="TableContents"/>
              <w:bidi w:val="0"/>
              <w:spacing w:before="0" w:after="283"/>
              <w:jc w:val="left"/>
              <w:rPr/>
            </w:pPr>
            <w:r>
              <w:rPr/>
              <w:t> </w:t>
            </w:r>
          </w:p>
        </w:tc>
        <w:tc>
          <w:tcPr>
            <w:tcW w:w="3185" w:type="dxa"/>
            <w:gridSpan w:val="14"/>
            <w:tcBorders>
              <w:bottom w:val="single" w:sz="12" w:space="0" w:color="000000"/>
            </w:tcBorders>
            <w:vAlign w:val="center"/>
          </w:tcPr>
          <w:p>
            <w:pPr>
              <w:pStyle w:val="TableContents"/>
              <w:bidi w:val="0"/>
              <w:spacing w:before="0" w:after="283"/>
              <w:jc w:val="center"/>
              <w:rPr/>
            </w:pPr>
            <w:r>
              <w:rPr/>
              <w:t>For the Three Months Ended</w:t>
              <w:br/>
              <w:t>December 31,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80" w:type="dxa"/>
            <w:gridSpan w:val="14"/>
            <w:tcBorders>
              <w:bottom w:val="single" w:sz="12" w:space="0" w:color="000000"/>
            </w:tcBorders>
            <w:vAlign w:val="center"/>
          </w:tcPr>
          <w:p>
            <w:pPr>
              <w:pStyle w:val="TableContents"/>
              <w:bidi w:val="0"/>
              <w:spacing w:before="0" w:after="283"/>
              <w:jc w:val="center"/>
              <w:rPr/>
            </w:pPr>
            <w:r>
              <w:rPr/>
              <w:t xml:space="preserve">For the Year Ended </w:t>
              <w:br/>
              <w:t>December 31,</w:t>
            </w:r>
          </w:p>
        </w:tc>
        <w:tc>
          <w:tcPr>
            <w:tcW w:w="75" w:type="dxa"/>
            <w:tcBorders/>
            <w:tcMar>
              <w:bottom w:w="0" w:type="dxa"/>
            </w:tcMar>
            <w:vAlign w:val="center"/>
          </w:tcPr>
          <w:p>
            <w:pPr>
              <w:pStyle w:val="TableContents"/>
              <w:bidi w:val="0"/>
              <w:spacing w:before="0" w:after="283"/>
              <w:jc w:val="left"/>
              <w:rPr/>
            </w:pPr>
            <w:r>
              <w:rPr/>
              <w:t> </w:t>
            </w:r>
          </w:p>
        </w:tc>
      </w:tr>
      <w:tr>
        <w:trPr/>
        <w:tc>
          <w:tcPr>
            <w:tcW w:w="3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15" w:type="dxa"/>
            <w:gridSpan w:val="6"/>
            <w:tcBorders>
              <w:bottom w:val="single" w:sz="12" w:space="0" w:color="000000"/>
            </w:tcBorders>
            <w:vAlign w:val="center"/>
          </w:tcPr>
          <w:p>
            <w:pPr>
              <w:pStyle w:val="TableContents"/>
              <w:bidi w:val="0"/>
              <w:spacing w:before="0" w:after="283"/>
              <w:jc w:val="center"/>
              <w:rPr/>
            </w:pPr>
            <w:r>
              <w:rPr/>
              <w:t>2023</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15" w:type="dxa"/>
            <w:gridSpan w:val="6"/>
            <w:tcBorders>
              <w:bottom w:val="single" w:sz="12" w:space="0" w:color="000000"/>
            </w:tcBorders>
            <w:vAlign w:val="center"/>
          </w:tcPr>
          <w:p>
            <w:pPr>
              <w:pStyle w:val="TableContents"/>
              <w:bidi w:val="0"/>
              <w:spacing w:before="0" w:after="283"/>
              <w:jc w:val="center"/>
              <w:rPr/>
            </w:pPr>
            <w:r>
              <w:rPr/>
              <w:t>2022</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80" w:type="dxa"/>
            <w:gridSpan w:val="6"/>
            <w:tcBorders>
              <w:bottom w:val="single" w:sz="12" w:space="0" w:color="000000"/>
            </w:tcBorders>
            <w:vAlign w:val="center"/>
          </w:tcPr>
          <w:p>
            <w:pPr>
              <w:pStyle w:val="TableContents"/>
              <w:bidi w:val="0"/>
              <w:spacing w:before="0" w:after="283"/>
              <w:jc w:val="center"/>
              <w:rPr/>
            </w:pPr>
            <w:r>
              <w:rPr/>
              <w:t>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80" w:type="dxa"/>
            <w:gridSpan w:val="6"/>
            <w:tcBorders>
              <w:bottom w:val="single" w:sz="12" w:space="0" w:color="000000"/>
            </w:tcBorders>
            <w:vAlign w:val="center"/>
          </w:tcPr>
          <w:p>
            <w:pPr>
              <w:pStyle w:val="TableContents"/>
              <w:bidi w:val="0"/>
              <w:spacing w:before="0" w:after="283"/>
              <w:jc w:val="center"/>
              <w:rPr/>
            </w:pPr>
            <w:r>
              <w:rPr/>
              <w:t>2022</w:t>
            </w:r>
          </w:p>
        </w:tc>
        <w:tc>
          <w:tcPr>
            <w:tcW w:w="75" w:type="dxa"/>
            <w:tcBorders/>
            <w:tcMar>
              <w:bottom w:w="0" w:type="dxa"/>
            </w:tcMar>
            <w:vAlign w:val="center"/>
          </w:tcPr>
          <w:p>
            <w:pPr>
              <w:pStyle w:val="TableContents"/>
              <w:bidi w:val="0"/>
              <w:spacing w:before="0" w:after="283"/>
              <w:ind w:left="0" w:right="0" w:hanging="180"/>
              <w:jc w:val="center"/>
              <w:rPr/>
            </w:pPr>
            <w:r>
              <w:rPr/>
              <w:t> </w:t>
            </w:r>
          </w:p>
        </w:tc>
      </w:tr>
      <w:tr>
        <w:trPr/>
        <w:tc>
          <w:tcPr>
            <w:tcW w:w="3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pPr>
            <w:r>
              <w:rPr/>
              <w:t>US$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pPr>
            <w:r>
              <w:rPr/>
              <w:t>US$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pPr>
            <w:r>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pPr>
            <w:r>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pPr>
            <w:r>
              <w:rPr/>
              <w:t>%</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3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20" w:type="dxa"/>
            <w:gridSpan w:val="30"/>
            <w:tcBorders/>
            <w:tcMar>
              <w:bottom w:w="0" w:type="dxa"/>
            </w:tcMar>
            <w:vAlign w:val="center"/>
          </w:tcPr>
          <w:p>
            <w:pPr>
              <w:pStyle w:val="TableContents"/>
              <w:bidi w:val="0"/>
              <w:spacing w:before="0" w:after="283"/>
              <w:jc w:val="center"/>
              <w:rPr/>
            </w:pPr>
            <w:r>
              <w:rPr/>
              <w:t>(US$ in thousands, except for percentages)</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3650" w:type="dxa"/>
            <w:tcBorders/>
            <w:tcMar>
              <w:bottom w:w="0" w:type="dxa"/>
            </w:tcMar>
            <w:vAlign w:val="center"/>
          </w:tcPr>
          <w:p>
            <w:pPr>
              <w:pStyle w:val="TableContents"/>
              <w:bidi w:val="0"/>
              <w:spacing w:before="0" w:after="283"/>
              <w:jc w:val="left"/>
              <w:rPr>
                <w:b/>
              </w:rPr>
            </w:pPr>
            <w:r>
              <w:rPr>
                <w:b/>
              </w:rPr>
              <w:t>By Geographical Market:</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pPr>
            <w:r>
              <w:rPr/>
              <w:t>Singapore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12,111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45.9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6,259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36.3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32,070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23,468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34.4</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FFFFFF" w:val="clear"/>
            <w:tcMar>
              <w:bottom w:w="0" w:type="dxa"/>
            </w:tcMar>
            <w:vAlign w:val="center"/>
          </w:tcPr>
          <w:p>
            <w:pPr>
              <w:pStyle w:val="TableContents"/>
              <w:bidi w:val="0"/>
              <w:spacing w:before="0" w:after="283"/>
              <w:jc w:val="left"/>
              <w:rPr/>
            </w:pPr>
            <w:r>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8,390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5,759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26,947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22,247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32.7</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pPr>
            <w:r>
              <w:rPr/>
              <w:t>Taiwan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1,967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2,527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6,743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11,027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16.2</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FFFFFF" w:val="clear"/>
            <w:tcMar>
              <w:bottom w:w="0" w:type="dxa"/>
            </w:tcMar>
            <w:vAlign w:val="center"/>
          </w:tcPr>
          <w:p>
            <w:pPr>
              <w:pStyle w:val="TableContents"/>
              <w:bidi w:val="0"/>
              <w:spacing w:before="0" w:after="283"/>
              <w:jc w:val="left"/>
              <w:rPr/>
            </w:pPr>
            <w:r>
              <w:rPr/>
              <w:t>Philippines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3,887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2,376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14,169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9,858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14.5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pPr>
            <w:r>
              <w:rPr/>
              <w:t>Malaysia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0.2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338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738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1,282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1.9</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FFFFFF" w:val="clear"/>
            <w:tcMar>
              <w:bottom w:w="0" w:type="dxa"/>
            </w:tcMar>
            <w:vAlign w:val="center"/>
          </w:tcPr>
          <w:p>
            <w:pPr>
              <w:pStyle w:val="TableContents"/>
              <w:bidi w:val="0"/>
              <w:spacing w:before="0" w:after="283"/>
              <w:jc w:val="left"/>
              <w:rPr/>
            </w:pPr>
            <w:r>
              <w:rPr/>
              <w:t>Other Asia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(0.1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0.3</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FFFFFF" w:val="clear"/>
            <w:tcMar>
              <w:bottom w:w="0" w:type="dxa"/>
            </w:tcMar>
            <w:vAlign w:val="center"/>
          </w:tcPr>
          <w:p>
            <w:pPr>
              <w:pStyle w:val="TableContents"/>
              <w:bidi w:val="0"/>
              <w:spacing w:before="0" w:after="283"/>
              <w:jc w:val="left"/>
              <w:rPr>
                <w:b/>
              </w:rPr>
            </w:pPr>
            <w:r>
              <w:rPr>
                <w:b/>
              </w:rPr>
              <w:t>Total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680" w:type="dxa"/>
            <w:tcBorders>
              <w:bottom w:val="double" w:sz="10" w:space="0" w:color="000000"/>
            </w:tcBorders>
            <w:shd w:fill="FFFFFF" w:val="clear"/>
            <w:vAlign w:val="center"/>
          </w:tcPr>
          <w:p>
            <w:pPr>
              <w:pStyle w:val="TableContents"/>
              <w:bidi w:val="0"/>
              <w:spacing w:before="0" w:after="283"/>
              <w:jc w:val="right"/>
              <w:rPr>
                <w:b/>
              </w:rPr>
            </w:pPr>
            <w:r>
              <w:rPr>
                <w:b/>
              </w:rPr>
              <w:t>26,397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560" w:type="dxa"/>
            <w:tcBorders>
              <w:bottom w:val="double" w:sz="10" w:space="0" w:color="000000"/>
            </w:tcBorders>
            <w:shd w:fill="FFFFFF" w:val="clear"/>
            <w:vAlign w:val="center"/>
          </w:tcPr>
          <w:p>
            <w:pPr>
              <w:pStyle w:val="TableContents"/>
              <w:bidi w:val="0"/>
              <w:spacing w:before="0" w:after="283"/>
              <w:jc w:val="right"/>
              <w:rPr>
                <w:b/>
              </w:rPr>
            </w:pPr>
            <w:r>
              <w:rPr>
                <w:b/>
              </w:rPr>
              <w:t>100.0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680" w:type="dxa"/>
            <w:tcBorders>
              <w:bottom w:val="double" w:sz="10" w:space="0" w:color="000000"/>
            </w:tcBorders>
            <w:shd w:fill="FFFFFF" w:val="clear"/>
            <w:vAlign w:val="center"/>
          </w:tcPr>
          <w:p>
            <w:pPr>
              <w:pStyle w:val="TableContents"/>
              <w:bidi w:val="0"/>
              <w:spacing w:before="0" w:after="283"/>
              <w:jc w:val="right"/>
              <w:rPr>
                <w:b/>
              </w:rPr>
            </w:pPr>
            <w:r>
              <w:rPr>
                <w:b/>
              </w:rPr>
              <w:t>17,237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560" w:type="dxa"/>
            <w:tcBorders>
              <w:bottom w:val="double" w:sz="10" w:space="0" w:color="000000"/>
            </w:tcBorders>
            <w:shd w:fill="FFFFFF" w:val="clear"/>
            <w:vAlign w:val="center"/>
          </w:tcPr>
          <w:p>
            <w:pPr>
              <w:pStyle w:val="TableContents"/>
              <w:bidi w:val="0"/>
              <w:spacing w:before="0" w:after="283"/>
              <w:jc w:val="right"/>
              <w:rPr>
                <w:b/>
              </w:rPr>
            </w:pPr>
            <w:r>
              <w:rPr>
                <w:b/>
              </w:rPr>
              <w:t>100.0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680" w:type="dxa"/>
            <w:tcBorders>
              <w:bottom w:val="double" w:sz="10" w:space="0" w:color="000000"/>
            </w:tcBorders>
            <w:shd w:fill="FFFFFF" w:val="clear"/>
            <w:vAlign w:val="center"/>
          </w:tcPr>
          <w:p>
            <w:pPr>
              <w:pStyle w:val="TableContents"/>
              <w:bidi w:val="0"/>
              <w:spacing w:before="0" w:after="283"/>
              <w:jc w:val="right"/>
              <w:rPr>
                <w:b/>
              </w:rPr>
            </w:pPr>
            <w:r>
              <w:rPr>
                <w:b/>
              </w:rPr>
              <w:t>80,671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560" w:type="dxa"/>
            <w:tcBorders>
              <w:bottom w:val="double" w:sz="10" w:space="0" w:color="000000"/>
            </w:tcBorders>
            <w:shd w:fill="FFFFFF" w:val="clear"/>
            <w:vAlign w:val="center"/>
          </w:tcPr>
          <w:p>
            <w:pPr>
              <w:pStyle w:val="TableContents"/>
              <w:bidi w:val="0"/>
              <w:spacing w:before="0" w:after="283"/>
              <w:jc w:val="right"/>
              <w:rPr>
                <w:b/>
              </w:rPr>
            </w:pPr>
            <w:r>
              <w:rPr>
                <w:b/>
              </w:rPr>
              <w:t>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680" w:type="dxa"/>
            <w:tcBorders>
              <w:bottom w:val="double" w:sz="10" w:space="0" w:color="000000"/>
            </w:tcBorders>
            <w:shd w:fill="FFFFFF" w:val="clear"/>
            <w:vAlign w:val="center"/>
          </w:tcPr>
          <w:p>
            <w:pPr>
              <w:pStyle w:val="TableContents"/>
              <w:bidi w:val="0"/>
              <w:spacing w:before="0" w:after="283"/>
              <w:jc w:val="right"/>
              <w:rPr>
                <w:b/>
              </w:rPr>
            </w:pPr>
            <w:r>
              <w:rPr>
                <w:b/>
              </w:rPr>
              <w:t>68,132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560" w:type="dxa"/>
            <w:tcBorders>
              <w:bottom w:val="double" w:sz="10" w:space="0" w:color="000000"/>
            </w:tcBorders>
            <w:shd w:fill="FFFFFF" w:val="clear"/>
            <w:vAlign w:val="center"/>
          </w:tcPr>
          <w:p>
            <w:pPr>
              <w:pStyle w:val="TableContents"/>
              <w:bidi w:val="0"/>
              <w:spacing w:before="0" w:after="283"/>
              <w:jc w:val="right"/>
              <w:rPr>
                <w:b/>
              </w:rPr>
            </w:pPr>
            <w:r>
              <w:rPr>
                <w:b/>
              </w:rPr>
              <w:t>100.0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FFFFFF" w:val="clear"/>
            <w:tcMar>
              <w:bottom w:w="0" w:type="dxa"/>
            </w:tcMar>
            <w:vAlign w:val="center"/>
          </w:tcPr>
          <w:p>
            <w:pPr>
              <w:pStyle w:val="TableContents"/>
              <w:bidi w:val="0"/>
              <w:spacing w:before="0" w:after="283"/>
              <w:jc w:val="left"/>
              <w:rPr>
                <w:b/>
              </w:rPr>
            </w:pPr>
            <w:r>
              <w:rPr>
                <w:b/>
              </w:rPr>
              <w:t>By Source: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pPr>
            <w:r>
              <w:rPr/>
              <w:t>Online financial comparison platforms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21,831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82.7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15,133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87.8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66,926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83.0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58,765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86.3</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FFFFFF" w:val="clear"/>
            <w:tcMar>
              <w:bottom w:w="0" w:type="dxa"/>
            </w:tcMar>
            <w:vAlign w:val="center"/>
          </w:tcPr>
          <w:p>
            <w:pPr>
              <w:pStyle w:val="TableContents"/>
              <w:bidi w:val="0"/>
              <w:spacing w:before="0" w:after="283"/>
              <w:jc w:val="left"/>
              <w:rPr/>
            </w:pPr>
            <w:r>
              <w:rPr/>
              <w:t>Creatory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4,566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2,104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12.2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13,746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9,368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13.7</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FFFFFF" w:val="clear"/>
            <w:tcMar>
              <w:bottom w:w="0" w:type="dxa"/>
            </w:tcMar>
            <w:vAlign w:val="center"/>
          </w:tcPr>
          <w:p>
            <w:pPr>
              <w:pStyle w:val="TableContents"/>
              <w:bidi w:val="0"/>
              <w:spacing w:before="0" w:after="283"/>
              <w:jc w:val="left"/>
              <w:rPr>
                <w:b/>
              </w:rPr>
            </w:pPr>
            <w:r>
              <w:rPr>
                <w:b/>
              </w:rPr>
              <w:t>Total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680" w:type="dxa"/>
            <w:tcBorders>
              <w:bottom w:val="double" w:sz="10" w:space="0" w:color="000000"/>
            </w:tcBorders>
            <w:shd w:fill="FFFFFF" w:val="clear"/>
            <w:vAlign w:val="center"/>
          </w:tcPr>
          <w:p>
            <w:pPr>
              <w:pStyle w:val="TableContents"/>
              <w:bidi w:val="0"/>
              <w:spacing w:before="0" w:after="283"/>
              <w:jc w:val="right"/>
              <w:rPr>
                <w:b/>
              </w:rPr>
            </w:pPr>
            <w:r>
              <w:rPr>
                <w:b/>
              </w:rPr>
              <w:t>26,397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560" w:type="dxa"/>
            <w:tcBorders>
              <w:bottom w:val="double" w:sz="10" w:space="0" w:color="000000"/>
            </w:tcBorders>
            <w:shd w:fill="FFFFFF" w:val="clear"/>
            <w:vAlign w:val="center"/>
          </w:tcPr>
          <w:p>
            <w:pPr>
              <w:pStyle w:val="TableContents"/>
              <w:bidi w:val="0"/>
              <w:spacing w:before="0" w:after="283"/>
              <w:jc w:val="right"/>
              <w:rPr>
                <w:b/>
              </w:rPr>
            </w:pPr>
            <w:r>
              <w:rPr>
                <w:b/>
              </w:rPr>
              <w:t>100.0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680" w:type="dxa"/>
            <w:tcBorders>
              <w:bottom w:val="double" w:sz="10" w:space="0" w:color="000000"/>
            </w:tcBorders>
            <w:shd w:fill="FFFFFF" w:val="clear"/>
            <w:vAlign w:val="center"/>
          </w:tcPr>
          <w:p>
            <w:pPr>
              <w:pStyle w:val="TableContents"/>
              <w:bidi w:val="0"/>
              <w:spacing w:before="0" w:after="283"/>
              <w:jc w:val="right"/>
              <w:rPr>
                <w:b/>
              </w:rPr>
            </w:pPr>
            <w:r>
              <w:rPr>
                <w:b/>
              </w:rPr>
              <w:t>17,237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560" w:type="dxa"/>
            <w:tcBorders>
              <w:bottom w:val="double" w:sz="10" w:space="0" w:color="000000"/>
            </w:tcBorders>
            <w:shd w:fill="FFFFFF" w:val="clear"/>
            <w:vAlign w:val="center"/>
          </w:tcPr>
          <w:p>
            <w:pPr>
              <w:pStyle w:val="TableContents"/>
              <w:bidi w:val="0"/>
              <w:spacing w:before="0" w:after="283"/>
              <w:jc w:val="right"/>
              <w:rPr>
                <w:b/>
              </w:rPr>
            </w:pPr>
            <w:r>
              <w:rPr>
                <w:b/>
              </w:rPr>
              <w:t>100.0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680" w:type="dxa"/>
            <w:tcBorders>
              <w:bottom w:val="double" w:sz="10" w:space="0" w:color="000000"/>
            </w:tcBorders>
            <w:shd w:fill="FFFFFF" w:val="clear"/>
            <w:vAlign w:val="center"/>
          </w:tcPr>
          <w:p>
            <w:pPr>
              <w:pStyle w:val="TableContents"/>
              <w:bidi w:val="0"/>
              <w:spacing w:before="0" w:after="283"/>
              <w:jc w:val="right"/>
              <w:rPr>
                <w:b/>
              </w:rPr>
            </w:pPr>
            <w:r>
              <w:rPr>
                <w:b/>
              </w:rPr>
              <w:t>80,671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560" w:type="dxa"/>
            <w:tcBorders>
              <w:bottom w:val="double" w:sz="10" w:space="0" w:color="000000"/>
            </w:tcBorders>
            <w:shd w:fill="FFFFFF" w:val="clear"/>
            <w:vAlign w:val="center"/>
          </w:tcPr>
          <w:p>
            <w:pPr>
              <w:pStyle w:val="TableContents"/>
              <w:bidi w:val="0"/>
              <w:spacing w:before="0" w:after="283"/>
              <w:jc w:val="right"/>
              <w:rPr>
                <w:b/>
              </w:rPr>
            </w:pPr>
            <w:r>
              <w:rPr>
                <w:b/>
              </w:rPr>
              <w:t>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680" w:type="dxa"/>
            <w:tcBorders>
              <w:bottom w:val="double" w:sz="10" w:space="0" w:color="000000"/>
            </w:tcBorders>
            <w:shd w:fill="FFFFFF" w:val="clear"/>
            <w:vAlign w:val="center"/>
          </w:tcPr>
          <w:p>
            <w:pPr>
              <w:pStyle w:val="TableContents"/>
              <w:bidi w:val="0"/>
              <w:spacing w:before="0" w:after="283"/>
              <w:jc w:val="right"/>
              <w:rPr>
                <w:b/>
              </w:rPr>
            </w:pPr>
            <w:r>
              <w:rPr>
                <w:b/>
              </w:rPr>
              <w:t>68,132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560" w:type="dxa"/>
            <w:tcBorders>
              <w:bottom w:val="double" w:sz="10" w:space="0" w:color="000000"/>
            </w:tcBorders>
            <w:shd w:fill="FFFFFF" w:val="clear"/>
            <w:vAlign w:val="center"/>
          </w:tcPr>
          <w:p>
            <w:pPr>
              <w:pStyle w:val="TableContents"/>
              <w:bidi w:val="0"/>
              <w:spacing w:before="0" w:after="283"/>
              <w:jc w:val="right"/>
              <w:rPr>
                <w:b/>
              </w:rPr>
            </w:pPr>
            <w:r>
              <w:rPr>
                <w:b/>
              </w:rPr>
              <w:t>100.0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FFFFFF" w:val="clear"/>
            <w:tcMar>
              <w:bottom w:w="0" w:type="dxa"/>
            </w:tcMar>
            <w:vAlign w:val="center"/>
          </w:tcPr>
          <w:p>
            <w:pPr>
              <w:pStyle w:val="TableContents"/>
              <w:bidi w:val="0"/>
              <w:spacing w:before="0" w:after="283"/>
              <w:jc w:val="left"/>
              <w:rPr>
                <w:b/>
              </w:rPr>
            </w:pPr>
            <w:r>
              <w:rPr>
                <w:b/>
              </w:rPr>
              <w:t>By Vertical: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pPr>
            <w:r>
              <w:rPr/>
              <w:t>Credit cards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19,976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12,203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70.8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60,258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49,430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72.6</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FFFFFF" w:val="clear"/>
            <w:tcMar>
              <w:bottom w:w="0" w:type="dxa"/>
            </w:tcMar>
            <w:vAlign w:val="center"/>
          </w:tcPr>
          <w:p>
            <w:pPr>
              <w:pStyle w:val="TableContents"/>
              <w:bidi w:val="0"/>
              <w:spacing w:before="0" w:after="283"/>
              <w:jc w:val="left"/>
              <w:rPr/>
            </w:pPr>
            <w:r>
              <w:rPr/>
              <w:t>Personal loans and mortgages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3,487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13.2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2,625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10,166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9,655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14.2</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pPr>
            <w:r>
              <w:rPr/>
              <w:t>Insurance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1,928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935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5,853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2,662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3.9</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FFFFFF" w:val="clear"/>
            <w:tcMar>
              <w:bottom w:w="0" w:type="dxa"/>
            </w:tcMar>
            <w:vAlign w:val="center"/>
          </w:tcPr>
          <w:p>
            <w:pPr>
              <w:pStyle w:val="TableContents"/>
              <w:bidi w:val="0"/>
              <w:spacing w:before="0" w:after="283"/>
              <w:jc w:val="left"/>
              <w:rPr/>
            </w:pPr>
            <w:r>
              <w:rPr/>
              <w:t>Other verticals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1,006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1,474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4,394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6,385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9.3</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50" w:type="dxa"/>
            <w:tcBorders/>
            <w:shd w:fill="FFFFFF" w:val="clear"/>
            <w:tcMar>
              <w:bottom w:w="0" w:type="dxa"/>
            </w:tcMar>
            <w:vAlign w:val="center"/>
          </w:tcPr>
          <w:p>
            <w:pPr>
              <w:pStyle w:val="TableContents"/>
              <w:bidi w:val="0"/>
              <w:spacing w:before="0" w:after="283"/>
              <w:jc w:val="left"/>
              <w:rPr>
                <w:b/>
              </w:rPr>
            </w:pPr>
            <w:r>
              <w:rPr>
                <w:b/>
              </w:rPr>
              <w:t>Total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680" w:type="dxa"/>
            <w:tcBorders>
              <w:bottom w:val="double" w:sz="10" w:space="0" w:color="000000"/>
            </w:tcBorders>
            <w:shd w:fill="FFFFFF" w:val="clear"/>
            <w:vAlign w:val="center"/>
          </w:tcPr>
          <w:p>
            <w:pPr>
              <w:pStyle w:val="TableContents"/>
              <w:bidi w:val="0"/>
              <w:spacing w:before="0" w:after="283"/>
              <w:jc w:val="right"/>
              <w:rPr>
                <w:b/>
              </w:rPr>
            </w:pPr>
            <w:r>
              <w:rPr>
                <w:b/>
              </w:rPr>
              <w:t>26,397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560" w:type="dxa"/>
            <w:tcBorders>
              <w:bottom w:val="double" w:sz="10" w:space="0" w:color="000000"/>
            </w:tcBorders>
            <w:shd w:fill="FFFFFF" w:val="clear"/>
            <w:vAlign w:val="center"/>
          </w:tcPr>
          <w:p>
            <w:pPr>
              <w:pStyle w:val="TableContents"/>
              <w:bidi w:val="0"/>
              <w:spacing w:before="0" w:after="283"/>
              <w:jc w:val="right"/>
              <w:rPr>
                <w:b/>
              </w:rPr>
            </w:pPr>
            <w:r>
              <w:rPr>
                <w:b/>
              </w:rPr>
              <w:t>100.0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680" w:type="dxa"/>
            <w:tcBorders>
              <w:bottom w:val="double" w:sz="10" w:space="0" w:color="000000"/>
            </w:tcBorders>
            <w:shd w:fill="FFFFFF" w:val="clear"/>
            <w:vAlign w:val="center"/>
          </w:tcPr>
          <w:p>
            <w:pPr>
              <w:pStyle w:val="TableContents"/>
              <w:bidi w:val="0"/>
              <w:spacing w:before="0" w:after="283"/>
              <w:jc w:val="right"/>
              <w:rPr>
                <w:b/>
              </w:rPr>
            </w:pPr>
            <w:r>
              <w:rPr>
                <w:b/>
              </w:rPr>
              <w:t>17,237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560" w:type="dxa"/>
            <w:tcBorders>
              <w:bottom w:val="double" w:sz="10" w:space="0" w:color="000000"/>
            </w:tcBorders>
            <w:shd w:fill="FFFFFF" w:val="clear"/>
            <w:vAlign w:val="center"/>
          </w:tcPr>
          <w:p>
            <w:pPr>
              <w:pStyle w:val="TableContents"/>
              <w:bidi w:val="0"/>
              <w:spacing w:before="0" w:after="283"/>
              <w:jc w:val="right"/>
              <w:rPr>
                <w:b/>
              </w:rPr>
            </w:pPr>
            <w:r>
              <w:rPr>
                <w:b/>
              </w:rPr>
              <w:t>100.0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680" w:type="dxa"/>
            <w:tcBorders>
              <w:bottom w:val="double" w:sz="10" w:space="0" w:color="000000"/>
            </w:tcBorders>
            <w:shd w:fill="FFFFFF" w:val="clear"/>
            <w:vAlign w:val="center"/>
          </w:tcPr>
          <w:p>
            <w:pPr>
              <w:pStyle w:val="TableContents"/>
              <w:bidi w:val="0"/>
              <w:spacing w:before="0" w:after="283"/>
              <w:jc w:val="right"/>
              <w:rPr>
                <w:b/>
              </w:rPr>
            </w:pPr>
            <w:r>
              <w:rPr>
                <w:b/>
              </w:rPr>
              <w:t>80,671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560" w:type="dxa"/>
            <w:tcBorders>
              <w:bottom w:val="double" w:sz="10" w:space="0" w:color="000000"/>
            </w:tcBorders>
            <w:shd w:fill="FFFFFF" w:val="clear"/>
            <w:vAlign w:val="center"/>
          </w:tcPr>
          <w:p>
            <w:pPr>
              <w:pStyle w:val="TableContents"/>
              <w:bidi w:val="0"/>
              <w:spacing w:before="0" w:after="283"/>
              <w:jc w:val="right"/>
              <w:rPr>
                <w:b/>
              </w:rPr>
            </w:pPr>
            <w:r>
              <w:rPr>
                <w:b/>
              </w:rPr>
              <w:t>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680" w:type="dxa"/>
            <w:tcBorders>
              <w:bottom w:val="double" w:sz="10" w:space="0" w:color="000000"/>
            </w:tcBorders>
            <w:shd w:fill="FFFFFF" w:val="clear"/>
            <w:vAlign w:val="center"/>
          </w:tcPr>
          <w:p>
            <w:pPr>
              <w:pStyle w:val="TableContents"/>
              <w:bidi w:val="0"/>
              <w:spacing w:before="0" w:after="283"/>
              <w:jc w:val="right"/>
              <w:rPr>
                <w:b/>
              </w:rPr>
            </w:pPr>
            <w:r>
              <w:rPr>
                <w:b/>
              </w:rPr>
              <w:t>68,132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560" w:type="dxa"/>
            <w:tcBorders>
              <w:bottom w:val="double" w:sz="10" w:space="0" w:color="000000"/>
            </w:tcBorders>
            <w:shd w:fill="FFFFFF" w:val="clear"/>
            <w:vAlign w:val="center"/>
          </w:tcPr>
          <w:p>
            <w:pPr>
              <w:pStyle w:val="TableContents"/>
              <w:bidi w:val="0"/>
              <w:spacing w:before="0" w:after="283"/>
              <w:jc w:val="right"/>
              <w:rPr>
                <w:b/>
              </w:rPr>
            </w:pPr>
            <w:r>
              <w:rPr>
                <w:b/>
              </w:rPr>
              <w:t>100.0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tbl>
      <w:tblPr>
        <w:tblW w:w="9518" w:type="dxa"/>
        <w:jc w:val="left"/>
        <w:tblInd w:w="0" w:type="dxa"/>
        <w:tblLayout w:type="fixed"/>
        <w:tblCellMar>
          <w:top w:w="0" w:type="dxa"/>
          <w:left w:w="0" w:type="dxa"/>
          <w:bottom w:w="0" w:type="dxa"/>
          <w:right w:w="0" w:type="dxa"/>
        </w:tblCellMar>
      </w:tblPr>
      <w:tblGrid>
        <w:gridCol w:w="3005"/>
        <w:gridCol w:w="60"/>
        <w:gridCol w:w="60"/>
        <w:gridCol w:w="443"/>
        <w:gridCol w:w="60"/>
        <w:gridCol w:w="60"/>
        <w:gridCol w:w="60"/>
        <w:gridCol w:w="565"/>
        <w:gridCol w:w="262"/>
        <w:gridCol w:w="60"/>
        <w:gridCol w:w="60"/>
        <w:gridCol w:w="443"/>
        <w:gridCol w:w="60"/>
        <w:gridCol w:w="60"/>
        <w:gridCol w:w="60"/>
        <w:gridCol w:w="565"/>
        <w:gridCol w:w="260"/>
        <w:gridCol w:w="60"/>
        <w:gridCol w:w="60"/>
        <w:gridCol w:w="560"/>
        <w:gridCol w:w="60"/>
        <w:gridCol w:w="60"/>
        <w:gridCol w:w="60"/>
        <w:gridCol w:w="560"/>
        <w:gridCol w:w="260"/>
        <w:gridCol w:w="60"/>
        <w:gridCol w:w="60"/>
        <w:gridCol w:w="560"/>
        <w:gridCol w:w="60"/>
        <w:gridCol w:w="60"/>
        <w:gridCol w:w="60"/>
        <w:gridCol w:w="560"/>
        <w:gridCol w:w="275"/>
      </w:tblGrid>
      <w:tr>
        <w:trPr/>
        <w:tc>
          <w:tcPr>
            <w:tcW w:w="300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818" w:type="dxa"/>
            <w:gridSpan w:val="14"/>
            <w:tcBorders>
              <w:bottom w:val="single" w:sz="12" w:space="0" w:color="000000"/>
            </w:tcBorders>
            <w:tcMar>
              <w:bottom w:w="28" w:type="dxa"/>
            </w:tcMar>
            <w:vAlign w:val="center"/>
          </w:tcPr>
          <w:p>
            <w:pPr>
              <w:pStyle w:val="TableContents"/>
              <w:bidi w:val="0"/>
              <w:spacing w:before="0" w:after="283"/>
              <w:jc w:val="center"/>
              <w:rPr/>
            </w:pPr>
            <w:r>
              <w:rPr/>
              <w:t xml:space="preserve">For the Three Months Ended </w:t>
              <w:br/>
              <w:t>December 31,</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40" w:type="dxa"/>
            <w:gridSpan w:val="14"/>
            <w:tcBorders>
              <w:bottom w:val="single" w:sz="12" w:space="0" w:color="000000"/>
            </w:tcBorders>
            <w:tcMar>
              <w:bottom w:w="28" w:type="dxa"/>
            </w:tcMar>
            <w:vAlign w:val="center"/>
          </w:tcPr>
          <w:p>
            <w:pPr>
              <w:pStyle w:val="TableContents"/>
              <w:bidi w:val="0"/>
              <w:spacing w:before="0" w:after="283"/>
              <w:jc w:val="center"/>
              <w:rPr/>
            </w:pPr>
            <w:r>
              <w:rPr/>
              <w:t xml:space="preserve">For the Year Ended </w:t>
              <w:br/>
              <w:t>December 31,</w:t>
            </w:r>
          </w:p>
        </w:tc>
        <w:tc>
          <w:tcPr>
            <w:tcW w:w="275" w:type="dxa"/>
            <w:tcBorders/>
            <w:vAlign w:val="center"/>
          </w:tcPr>
          <w:p>
            <w:pPr>
              <w:pStyle w:val="TableContents"/>
              <w:bidi w:val="0"/>
              <w:spacing w:before="0" w:after="283"/>
              <w:ind w:left="0" w:right="0" w:hanging="180"/>
              <w:jc w:val="center"/>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8" w:type="dxa"/>
            <w:gridSpan w:val="6"/>
            <w:tcBorders>
              <w:bottom w:val="single" w:sz="12" w:space="0" w:color="000000"/>
            </w:tcBorders>
            <w:tcMar>
              <w:bottom w:w="28" w:type="dxa"/>
            </w:tcMar>
            <w:vAlign w:val="center"/>
          </w:tcPr>
          <w:p>
            <w:pPr>
              <w:pStyle w:val="TableContents"/>
              <w:bidi w:val="0"/>
              <w:spacing w:before="0" w:after="283"/>
              <w:jc w:val="center"/>
              <w:rPr/>
            </w:pPr>
            <w:r>
              <w:rPr/>
              <w:t>2023</w:t>
            </w:r>
          </w:p>
        </w:tc>
        <w:tc>
          <w:tcPr>
            <w:tcW w:w="2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8" w:type="dxa"/>
            <w:gridSpan w:val="6"/>
            <w:tcBorders>
              <w:bottom w:val="single" w:sz="12" w:space="0" w:color="000000"/>
            </w:tcBorders>
            <w:tcMar>
              <w:bottom w:w="28" w:type="dxa"/>
            </w:tcMar>
            <w:vAlign w:val="center"/>
          </w:tcPr>
          <w:p>
            <w:pPr>
              <w:pStyle w:val="TableContents"/>
              <w:bidi w:val="0"/>
              <w:spacing w:before="0" w:after="283"/>
              <w:jc w:val="center"/>
              <w:rPr/>
            </w:pPr>
            <w:r>
              <w:rPr/>
              <w:t>2022</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6"/>
            <w:tcBorders>
              <w:bottom w:val="single" w:sz="12" w:space="0" w:color="000000"/>
            </w:tcBorders>
            <w:tcMar>
              <w:bottom w:w="28" w:type="dxa"/>
            </w:tcMar>
            <w:vAlign w:val="center"/>
          </w:tcPr>
          <w:p>
            <w:pPr>
              <w:pStyle w:val="TableContents"/>
              <w:bidi w:val="0"/>
              <w:spacing w:before="0" w:after="283"/>
              <w:jc w:val="center"/>
              <w:rPr/>
            </w:pPr>
            <w:r>
              <w:rPr/>
              <w:t>2023</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6"/>
            <w:tcBorders>
              <w:bottom w:val="single" w:sz="12" w:space="0" w:color="000000"/>
            </w:tcBorders>
            <w:tcMar>
              <w:bottom w:w="28" w:type="dxa"/>
            </w:tcMar>
            <w:vAlign w:val="center"/>
          </w:tcPr>
          <w:p>
            <w:pPr>
              <w:pStyle w:val="TableContents"/>
              <w:bidi w:val="0"/>
              <w:spacing w:before="0" w:after="283"/>
              <w:jc w:val="center"/>
              <w:rPr/>
            </w:pPr>
            <w:r>
              <w:rPr/>
              <w:t>2022</w:t>
            </w:r>
          </w:p>
        </w:tc>
        <w:tc>
          <w:tcPr>
            <w:tcW w:w="275" w:type="dxa"/>
            <w:tcBorders/>
            <w:vAlign w:val="center"/>
          </w:tcPr>
          <w:p>
            <w:pPr>
              <w:pStyle w:val="TableContents"/>
              <w:bidi w:val="0"/>
              <w:spacing w:before="0" w:after="283"/>
              <w:ind w:left="0" w:right="0" w:hanging="180"/>
              <w:jc w:val="center"/>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78" w:type="dxa"/>
            <w:gridSpan w:val="30"/>
            <w:tcBorders/>
            <w:vAlign w:val="center"/>
          </w:tcPr>
          <w:p>
            <w:pPr>
              <w:pStyle w:val="TableContents"/>
              <w:bidi w:val="0"/>
              <w:spacing w:before="0" w:after="283"/>
              <w:jc w:val="center"/>
              <w:rPr/>
            </w:pPr>
            <w:r>
              <w:rPr/>
              <w:t>(in millions, except for percentages)</w:t>
            </w:r>
          </w:p>
        </w:tc>
        <w:tc>
          <w:tcPr>
            <w:tcW w:w="275" w:type="dxa"/>
            <w:tcBorders/>
            <w:vAlign w:val="center"/>
          </w:tcPr>
          <w:p>
            <w:pPr>
              <w:pStyle w:val="TableContents"/>
              <w:bidi w:val="0"/>
              <w:spacing w:before="0" w:after="283"/>
              <w:ind w:left="0" w:right="0" w:hanging="180"/>
              <w:jc w:val="center"/>
              <w:rPr/>
            </w:pPr>
            <w:r>
              <w:rPr/>
              <w:t> </w:t>
            </w:r>
          </w:p>
        </w:tc>
      </w:tr>
      <w:tr>
        <w:trPr/>
        <w:tc>
          <w:tcPr>
            <w:tcW w:w="3005" w:type="dxa"/>
            <w:tcBorders/>
            <w:vAlign w:val="center"/>
          </w:tcPr>
          <w:p>
            <w:pPr>
              <w:pStyle w:val="TableContents"/>
              <w:bidi w:val="0"/>
              <w:spacing w:before="0" w:after="283"/>
              <w:jc w:val="left"/>
              <w:rPr>
                <w:b/>
              </w:rPr>
            </w:pPr>
            <w:r>
              <w:rPr>
                <w:b/>
              </w:rPr>
              <w:t>Monthly Unique Users</w:t>
            </w:r>
          </w:p>
        </w:tc>
        <w:tc>
          <w:tcPr>
            <w:tcW w:w="60" w:type="dxa"/>
            <w:tcBorders/>
            <w:vAlign w:val="center"/>
          </w:tcPr>
          <w:p>
            <w:pPr>
              <w:pStyle w:val="TableContents"/>
              <w:bidi w:val="0"/>
              <w:spacing w:before="0" w:after="283"/>
              <w:jc w:val="left"/>
              <w:rPr/>
            </w:pPr>
            <w:r>
              <w:rPr/>
              <w:t> </w:t>
            </w:r>
          </w:p>
        </w:tc>
        <w:tc>
          <w:tcPr>
            <w:tcW w:w="50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5" w:type="dxa"/>
            <w:gridSpan w:val="2"/>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5"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180"/>
              <w:jc w:val="left"/>
              <w:rPr/>
            </w:pPr>
            <w:r>
              <w:rPr/>
              <w:t> </w:t>
            </w:r>
          </w:p>
        </w:tc>
      </w:tr>
      <w:tr>
        <w:trPr/>
        <w:tc>
          <w:tcPr>
            <w:tcW w:w="3005" w:type="dxa"/>
            <w:tcBorders/>
            <w:shd w:fill="CCEEFF" w:val="clear"/>
            <w:vAlign w:val="center"/>
          </w:tcPr>
          <w:p>
            <w:pPr>
              <w:pStyle w:val="TableContents"/>
              <w:bidi w:val="0"/>
              <w:spacing w:before="0" w:after="283"/>
              <w:jc w:val="left"/>
              <w:rPr/>
            </w:pPr>
            <w:r>
              <w:rPr/>
              <w:t>Singapore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18.5</w:t>
            </w:r>
          </w:p>
        </w:tc>
        <w:tc>
          <w:tcPr>
            <w:tcW w:w="26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22.9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21.2</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3005" w:type="dxa"/>
            <w:tcBorders/>
            <w:shd w:fill="FFFFFF" w:val="clear"/>
            <w:vAlign w:val="center"/>
          </w:tcPr>
          <w:p>
            <w:pPr>
              <w:pStyle w:val="TableContents"/>
              <w:bidi w:val="0"/>
              <w:spacing w:before="0" w:after="283"/>
              <w:jc w:val="left"/>
              <w:rPr/>
            </w:pPr>
            <w:r>
              <w:rPr/>
              <w:t>Hong Kong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13.8</w:t>
            </w:r>
          </w:p>
        </w:tc>
        <w:tc>
          <w:tcPr>
            <w:tcW w:w="26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19.2</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15.9</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22.7</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3005" w:type="dxa"/>
            <w:tcBorders/>
            <w:shd w:fill="CCEEFF" w:val="clear"/>
            <w:vAlign w:val="center"/>
          </w:tcPr>
          <w:p>
            <w:pPr>
              <w:pStyle w:val="TableContents"/>
              <w:bidi w:val="0"/>
              <w:spacing w:before="0" w:after="283"/>
              <w:jc w:val="left"/>
              <w:rPr/>
            </w:pPr>
            <w:r>
              <w:rPr/>
              <w:t>Taiwan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24.9</w:t>
            </w:r>
          </w:p>
        </w:tc>
        <w:tc>
          <w:tcPr>
            <w:tcW w:w="26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23.7</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28.0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22.4</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3005" w:type="dxa"/>
            <w:tcBorders/>
            <w:shd w:fill="FFFFFF" w:val="clear"/>
            <w:vAlign w:val="center"/>
          </w:tcPr>
          <w:p>
            <w:pPr>
              <w:pStyle w:val="TableContents"/>
              <w:bidi w:val="0"/>
              <w:spacing w:before="0" w:after="283"/>
              <w:jc w:val="left"/>
              <w:rPr/>
            </w:pPr>
            <w:r>
              <w:rPr/>
              <w:t>Philippines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39.9</w:t>
            </w:r>
          </w:p>
        </w:tc>
        <w:tc>
          <w:tcPr>
            <w:tcW w:w="26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30.5</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33.8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29.3</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3005"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2.8</w:t>
            </w:r>
          </w:p>
        </w:tc>
        <w:tc>
          <w:tcPr>
            <w:tcW w:w="26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3.7</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30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b/>
              </w:rPr>
            </w:pPr>
            <w:r>
              <w:rPr>
                <w:b/>
              </w:rPr>
              <w:t>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b/>
              </w:rPr>
            </w:pPr>
            <w:r>
              <w:rPr>
                <w:b/>
              </w:rPr>
              <w:t>100.0</w:t>
            </w:r>
          </w:p>
        </w:tc>
        <w:tc>
          <w:tcPr>
            <w:tcW w:w="262"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b/>
              </w:rPr>
            </w:pPr>
            <w:r>
              <w:rPr>
                <w:b/>
              </w:rPr>
              <w:t>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100.0</w:t>
            </w:r>
          </w:p>
        </w:tc>
        <w:tc>
          <w:tcPr>
            <w:tcW w:w="275" w:type="dxa"/>
            <w:tcBorders/>
            <w:shd w:fill="FFFFFF" w:val="clear"/>
            <w:vAlign w:val="center"/>
          </w:tcPr>
          <w:p>
            <w:pPr>
              <w:pStyle w:val="TableContents"/>
              <w:bidi w:val="0"/>
              <w:spacing w:before="0" w:after="283"/>
              <w:ind w:left="0" w:right="0" w:hanging="180"/>
              <w:jc w:val="left"/>
              <w:rPr>
                <w:b/>
              </w:rPr>
            </w:pPr>
            <w:r>
              <w:rPr>
                <w:b/>
              </w:rPr>
              <w:t>%</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3005" w:type="dxa"/>
            <w:tcBorders/>
            <w:shd w:fill="FFFFFF" w:val="clear"/>
            <w:vAlign w:val="center"/>
          </w:tcPr>
          <w:p>
            <w:pPr>
              <w:pStyle w:val="TableContents"/>
              <w:bidi w:val="0"/>
              <w:spacing w:before="0" w:after="283"/>
              <w:jc w:val="left"/>
              <w:rPr>
                <w:b/>
              </w:rPr>
            </w:pPr>
            <w:r>
              <w:rPr>
                <w:b/>
              </w:rPr>
              <w:t>Total Traffic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3005" w:type="dxa"/>
            <w:tcBorders/>
            <w:shd w:fill="CCEEFF" w:val="clear"/>
            <w:vAlign w:val="center"/>
          </w:tcPr>
          <w:p>
            <w:pPr>
              <w:pStyle w:val="TableContents"/>
              <w:bidi w:val="0"/>
              <w:spacing w:before="0" w:after="283"/>
              <w:jc w:val="left"/>
              <w:rPr/>
            </w:pPr>
            <w:r>
              <w:rPr/>
              <w:t>Singapore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13.6</w:t>
            </w:r>
          </w:p>
        </w:tc>
        <w:tc>
          <w:tcPr>
            <w:tcW w:w="26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14.6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13.7</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3005" w:type="dxa"/>
            <w:tcBorders/>
            <w:shd w:fill="FFFFFF" w:val="clear"/>
            <w:vAlign w:val="center"/>
          </w:tcPr>
          <w:p>
            <w:pPr>
              <w:pStyle w:val="TableContents"/>
              <w:bidi w:val="0"/>
              <w:spacing w:before="0" w:after="283"/>
              <w:jc w:val="left"/>
              <w:rPr/>
            </w:pPr>
            <w:r>
              <w:rPr/>
              <w:t>Hong Kong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15.7</w:t>
            </w:r>
          </w:p>
        </w:tc>
        <w:tc>
          <w:tcPr>
            <w:tcW w:w="26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23.1</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18.3</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26.9</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3005" w:type="dxa"/>
            <w:tcBorders/>
            <w:shd w:fill="CCEEFF" w:val="clear"/>
            <w:vAlign w:val="center"/>
          </w:tcPr>
          <w:p>
            <w:pPr>
              <w:pStyle w:val="TableContents"/>
              <w:bidi w:val="0"/>
              <w:spacing w:before="0" w:after="283"/>
              <w:jc w:val="left"/>
              <w:rPr/>
            </w:pPr>
            <w:r>
              <w:rPr/>
              <w:t>Taiwan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25.7</w:t>
            </w:r>
          </w:p>
        </w:tc>
        <w:tc>
          <w:tcPr>
            <w:tcW w:w="26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26.0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30.4</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24.0</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3005" w:type="dxa"/>
            <w:tcBorders/>
            <w:shd w:fill="FFFFFF" w:val="clear"/>
            <w:vAlign w:val="center"/>
          </w:tcPr>
          <w:p>
            <w:pPr>
              <w:pStyle w:val="TableContents"/>
              <w:bidi w:val="0"/>
              <w:spacing w:before="0" w:after="283"/>
              <w:jc w:val="left"/>
              <w:rPr/>
            </w:pPr>
            <w:r>
              <w:rPr/>
              <w:t>Philippines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42.3</w:t>
            </w:r>
          </w:p>
        </w:tc>
        <w:tc>
          <w:tcPr>
            <w:tcW w:w="26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32.4</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35.7</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31.0</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3005"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2.8</w:t>
            </w:r>
          </w:p>
        </w:tc>
        <w:tc>
          <w:tcPr>
            <w:tcW w:w="26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3.9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30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b/>
              </w:rPr>
            </w:pPr>
            <w:r>
              <w:rPr>
                <w:b/>
              </w:rPr>
              <w:t>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b/>
              </w:rPr>
            </w:pPr>
            <w:r>
              <w:rPr>
                <w:b/>
              </w:rPr>
              <w:t>100.0</w:t>
            </w:r>
          </w:p>
        </w:tc>
        <w:tc>
          <w:tcPr>
            <w:tcW w:w="262"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b/>
              </w:rPr>
            </w:pPr>
            <w:r>
              <w:rPr>
                <w:b/>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129.5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113.7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100.0</w:t>
            </w:r>
          </w:p>
        </w:tc>
        <w:tc>
          <w:tcPr>
            <w:tcW w:w="275" w:type="dxa"/>
            <w:tcBorders/>
            <w:shd w:fill="FFFFFF" w:val="clear"/>
            <w:vAlign w:val="center"/>
          </w:tcPr>
          <w:p>
            <w:pPr>
              <w:pStyle w:val="TableContents"/>
              <w:bidi w:val="0"/>
              <w:spacing w:before="0" w:after="283"/>
              <w:ind w:left="0" w:right="0" w:hanging="180"/>
              <w:jc w:val="left"/>
              <w:rPr>
                <w:b/>
              </w:rPr>
            </w:pPr>
            <w:r>
              <w:rPr>
                <w:b/>
              </w:rPr>
              <w:t>%</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3005" w:type="dxa"/>
            <w:tcBorders/>
            <w:shd w:fill="FFFFFF" w:val="clear"/>
            <w:vAlign w:val="center"/>
          </w:tcPr>
          <w:p>
            <w:pPr>
              <w:pStyle w:val="TableContents"/>
              <w:bidi w:val="0"/>
              <w:spacing w:before="0" w:after="283"/>
              <w:jc w:val="left"/>
              <w:rPr>
                <w:b/>
              </w:rPr>
            </w:pPr>
            <w:r>
              <w:rPr>
                <w:b/>
              </w:rPr>
              <w:t>MoneyHero Group Members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3005" w:type="dxa"/>
            <w:tcBorders/>
            <w:shd w:fill="CCEEFF" w:val="clear"/>
            <w:vAlign w:val="center"/>
          </w:tcPr>
          <w:p>
            <w:pPr>
              <w:pStyle w:val="TableContents"/>
              <w:bidi w:val="0"/>
              <w:spacing w:before="0" w:after="283"/>
              <w:jc w:val="left"/>
              <w:rPr/>
            </w:pPr>
            <w:r>
              <w:rPr/>
              <w:t>Singapore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22.1</w:t>
            </w:r>
          </w:p>
        </w:tc>
        <w:tc>
          <w:tcPr>
            <w:tcW w:w="26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23.3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23.3</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3005" w:type="dxa"/>
            <w:tcBorders/>
            <w:shd w:fill="FFFFFF" w:val="clear"/>
            <w:vAlign w:val="center"/>
          </w:tcPr>
          <w:p>
            <w:pPr>
              <w:pStyle w:val="TableContents"/>
              <w:bidi w:val="0"/>
              <w:spacing w:before="0" w:after="283"/>
              <w:jc w:val="left"/>
              <w:rPr/>
            </w:pPr>
            <w:r>
              <w:rPr/>
              <w:t>Hong Kong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13.0</w:t>
            </w:r>
          </w:p>
        </w:tc>
        <w:tc>
          <w:tcPr>
            <w:tcW w:w="26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12.2</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13.0</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12.2</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3005" w:type="dxa"/>
            <w:tcBorders/>
            <w:shd w:fill="CCEEFF" w:val="clear"/>
            <w:vAlign w:val="center"/>
          </w:tcPr>
          <w:p>
            <w:pPr>
              <w:pStyle w:val="TableContents"/>
              <w:bidi w:val="0"/>
              <w:spacing w:before="0" w:after="283"/>
              <w:jc w:val="left"/>
              <w:rPr/>
            </w:pPr>
            <w:r>
              <w:rPr/>
              <w:t>Taiwan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4.8</w:t>
            </w:r>
          </w:p>
        </w:tc>
        <w:tc>
          <w:tcPr>
            <w:tcW w:w="26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5.4</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3005" w:type="dxa"/>
            <w:tcBorders/>
            <w:shd w:fill="FFFFFF" w:val="clear"/>
            <w:vAlign w:val="center"/>
          </w:tcPr>
          <w:p>
            <w:pPr>
              <w:pStyle w:val="TableContents"/>
              <w:bidi w:val="0"/>
              <w:spacing w:before="0" w:after="283"/>
              <w:jc w:val="left"/>
              <w:rPr/>
            </w:pPr>
            <w:r>
              <w:rPr/>
              <w:t>Philippines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55.3</w:t>
            </w:r>
          </w:p>
        </w:tc>
        <w:tc>
          <w:tcPr>
            <w:tcW w:w="26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51.8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55.3</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51.8</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3005"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4.8</w:t>
            </w:r>
          </w:p>
        </w:tc>
        <w:tc>
          <w:tcPr>
            <w:tcW w:w="26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7.2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7.2</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30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b/>
              </w:rPr>
            </w:pPr>
            <w:r>
              <w:rPr>
                <w:b/>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b/>
              </w:rPr>
            </w:pPr>
            <w:r>
              <w:rPr>
                <w:b/>
              </w:rPr>
              <w:t>100.0</w:t>
            </w:r>
          </w:p>
        </w:tc>
        <w:tc>
          <w:tcPr>
            <w:tcW w:w="262"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b/>
              </w:rPr>
            </w:pPr>
            <w:r>
              <w:rPr>
                <w:b/>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100.0</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and webcast on Monday, April 29, 2024, at 8:00 a.m. Eastern Standard Time / 8:00 p.m. Singapore Standard Time to discuss the Company’s financial results. The MoneyHero Limited (NASDAQ: MNY) Q4 2023 Earnings call can be accessed by registering at:</w:t>
      </w:r>
    </w:p>
    <w:p>
      <w:pPr>
        <w:pStyle w:val="TextBody"/>
        <w:bidi w:val="0"/>
        <w:spacing w:before="0" w:after="0"/>
        <w:ind w:left="0" w:right="0" w:hanging="0"/>
        <w:jc w:val="left"/>
        <w:rPr>
          <w:caps w:val="false"/>
          <w:smallCaps w:val="false"/>
        </w:rPr>
      </w:pPr>
      <w:r>
        <w:rPr>
          <w:caps w:val="false"/>
          <w:smallCaps w:val="false"/>
        </w:rPr>
        <w:t> </w:t>
      </w:r>
    </w:p>
    <w:p>
      <w:pPr>
        <w:pStyle w:val="TextBody"/>
        <w:shd w:fill="FEFEFE"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Webcast:  https://edge.media-server.com/mmc/p/imx3hnjm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call: https://register.vevent.com/register/BIac979ca014d64018b55b9054336ae024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webcast replay will be available on the Investor Relations website for 12 months following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MoneyHero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val="false"/>
          <w:dstrike w:val="false"/>
          <w:sz w:val="20"/>
          <w:u w:val="none"/>
          <w:effect w:val="none"/>
        </w:rPr>
        <w:t>MoneyHero Limited</w:t>
      </w:r>
      <w:r>
        <w:rPr>
          <w:rFonts w:ascii="Times New Roman;Times;Serif" w:hAnsi="Times New Roman;Times;Serif"/>
          <w:b w:val="false"/>
          <w:i w:val="false"/>
          <w:caps w:val="false"/>
          <w:smallCaps w:val="false"/>
          <w:sz w:val="20"/>
        </w:rPr>
        <w:t xml:space="preserve"> (NASDAQ: </w:t>
      </w:r>
      <w:r>
        <w:rPr>
          <w:rFonts w:ascii="Times New Roman;Times;Serif" w:hAnsi="Times New Roman;Times;Serif"/>
          <w:b w:val="false"/>
          <w:i w:val="false"/>
          <w:caps w:val="false"/>
          <w:smallCaps w:val="false"/>
          <w:strike w:val="false"/>
          <w:dstrike w:val="false"/>
          <w:sz w:val="20"/>
          <w:u w:val="none"/>
          <w:effect w:val="none"/>
        </w:rPr>
        <w:t>MNY</w:t>
      </w:r>
      <w:r>
        <w:rPr>
          <w:rFonts w:ascii="Times New Roman;Times;Serif" w:hAnsi="Times New Roman;Times;Serif"/>
          <w:b w:val="false"/>
          <w:i w:val="false"/>
          <w:caps w:val="false"/>
          <w:smallCaps w:val="false"/>
          <w:sz w:val="20"/>
        </w:rPr>
        <w:t xml:space="preserve">), formerly known as Hyphen Group or CompareAsia Group, is a market leader in the online personal finance and digital insurance aggregation and comparison sector in Greater Southeast Asia. The Company operates in Singapore, Hong Kong, Taiwan, the Philippines, and Malaysia with respective brands for each local market. MoneyHero currently managed 279 commercial partner relationships and services 8.7 million Monthly Unique Users across its platform for the 12 months ended December 31, 2023.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t>
      </w:r>
      <w:r>
        <w:rPr>
          <w:rFonts w:ascii="Times New Roman;Times;Serif" w:hAnsi="Times New Roman;Times;Serif"/>
          <w:b w:val="false"/>
          <w:i w:val="false"/>
          <w:caps w:val="false"/>
          <w:smallCaps w:val="false"/>
          <w:strike w:val="false"/>
          <w:dstrike w:val="false"/>
          <w:sz w:val="20"/>
          <w:u w:val="none"/>
          <w:effect w:val="none"/>
        </w:rPr>
        <w:t>www.MoneyHeroGroup.com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Metrics and Non-IFRS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Monthly Unique User” means as a unique user with at least one session in a given month as determined by a unique device identifier from Google Analytics. A session initiates when a user either opens an app in the foreground or views a page or screen and no session is currently active (e.g., the user’s previous session has ended). A session ends after 30 minutes of user inactivity. We measure Monthly Unique Users during a time period longer than one month by averaging the Monthly Unique Users of each month within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Traffic” means the total number of unique sessions in Google Analytics. A unique session is a group of user interactions recorded when a user visits the website or app within a 30-minute window. The current session ends when there is 30 minutes of inactivity or users have a change in traffic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MoneyHero Group Members” means (i) users who have login IDs with us in Singapore, Hong Kong and Taiwan , (ii) users who subscribe to our email distributions in Singapore, Hong Kong, Taiwan, the Philippines and Malaysia, and (iii) users who are registered in our rewards database in Singapore and Hong Kong. Any duplications across the three sources above are deduplicated.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Clicks” means the sum of unique clicks by product vertical on a tagged “Apply Now” button on our website, including product result pages and blogs. We track Clicks to understand how our users engage with our platforms prior to application submission or purchase, which enables us to further optimize conversion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Applications” means the total number of product applications submitted by users and confirmed by our commercial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Approved Applications” means the number of applications that have been approved and confirmed by our commercial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MoneyHero Group’s results determined in accordance with IFRS, MoneyHero Group believes that the key performance metrics above and the non-IFRS measures below are useful in evaluating its operating performance. MoneyHero Group uses these measures, collectively, to evaluate ongoing operations and for internal planning and forecasting purposes. MoneyHero Group believes that non-IFRS information, when taken collectively,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loss for the year/period and loss before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non-IFRS financial measure defined as loss for the year/period plus depreciation and amortization, interest income, finance costs, income tax expenses/(credit), impairments of assets, equity-settled share option expense, other long-term employee benefits expense/(credit), employee severance expenses, transaction expenses, changes in fair value of financial instruments, gain on derecognition of convertible loan and bridge loan, unrealized foreign exchange differences, net minus government subsidies which are mainly COVID-related. Adjusted EBITDA Margin is defined as Adjusted EBITDA as a percentage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is provided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We currently, and will continue to, report financial results under IFRS, which differs in certain significant respect from U.S. GAAP.</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27"/>
        <w:gridCol w:w="60"/>
        <w:gridCol w:w="72"/>
        <w:gridCol w:w="918"/>
        <w:gridCol w:w="371"/>
        <w:gridCol w:w="72"/>
        <w:gridCol w:w="72"/>
        <w:gridCol w:w="827"/>
        <w:gridCol w:w="298"/>
        <w:gridCol w:w="60"/>
        <w:gridCol w:w="60"/>
        <w:gridCol w:w="875"/>
        <w:gridCol w:w="298"/>
        <w:gridCol w:w="60"/>
        <w:gridCol w:w="60"/>
        <w:gridCol w:w="755"/>
        <w:gridCol w:w="320"/>
      </w:tblGrid>
      <w:tr>
        <w:trPr/>
        <w:tc>
          <w:tcPr>
            <w:tcW w:w="502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332" w:type="dxa"/>
            <w:gridSpan w:val="6"/>
            <w:tcBorders>
              <w:bottom w:val="single" w:sz="12" w:space="0" w:color="000000"/>
            </w:tcBorders>
            <w:tcMar>
              <w:bottom w:w="28" w:type="dxa"/>
            </w:tcMar>
            <w:vAlign w:val="center"/>
          </w:tcPr>
          <w:p>
            <w:pPr>
              <w:pStyle w:val="TableContents"/>
              <w:bidi w:val="0"/>
              <w:spacing w:before="0" w:after="283"/>
              <w:jc w:val="center"/>
              <w:rPr/>
            </w:pPr>
            <w:r>
              <w:rPr/>
              <w:t>For the Three Months Ended</w:t>
              <w:br/>
              <w:t>December 31,</w:t>
            </w:r>
          </w:p>
        </w:tc>
        <w:tc>
          <w:tcPr>
            <w:tcW w:w="2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8"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For the Year Ended </w:t>
              <w:br/>
              <w:t>December 31,</w:t>
            </w:r>
          </w:p>
        </w:tc>
        <w:tc>
          <w:tcPr>
            <w:tcW w:w="320" w:type="dxa"/>
            <w:tcBorders/>
            <w:vAlign w:val="center"/>
          </w:tcPr>
          <w:p>
            <w:pPr>
              <w:pStyle w:val="TableContents"/>
              <w:bidi w:val="0"/>
              <w:spacing w:before="0" w:after="283"/>
              <w:ind w:left="0" w:right="0" w:hanging="180"/>
              <w:jc w:val="left"/>
              <w:rPr/>
            </w:pPr>
            <w:r>
              <w:rPr/>
              <w:t> </w:t>
            </w:r>
          </w:p>
        </w:tc>
      </w:tr>
      <w:tr>
        <w:trPr/>
        <w:tc>
          <w:tcPr>
            <w:tcW w:w="50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371"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2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2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320" w:type="dxa"/>
            <w:tcBorders/>
            <w:vAlign w:val="center"/>
          </w:tcPr>
          <w:p>
            <w:pPr>
              <w:pStyle w:val="TableContents"/>
              <w:bidi w:val="0"/>
              <w:spacing w:before="0" w:after="283"/>
              <w:ind w:left="0" w:right="0" w:hanging="180"/>
              <w:jc w:val="left"/>
              <w:rPr/>
            </w:pPr>
            <w:r>
              <w:rPr/>
              <w:t> </w:t>
            </w:r>
          </w:p>
        </w:tc>
      </w:tr>
      <w:tr>
        <w:trPr/>
        <w:tc>
          <w:tcPr>
            <w:tcW w:w="50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8" w:type="dxa"/>
            <w:gridSpan w:val="14"/>
            <w:tcBorders/>
            <w:vAlign w:val="center"/>
          </w:tcPr>
          <w:p>
            <w:pPr>
              <w:pStyle w:val="TableContents"/>
              <w:bidi w:val="0"/>
              <w:spacing w:before="0" w:after="283"/>
              <w:jc w:val="center"/>
              <w:rPr/>
            </w:pPr>
            <w:r>
              <w:rPr/>
              <w:t>(US$ in thousands)</w:t>
            </w:r>
          </w:p>
        </w:tc>
        <w:tc>
          <w:tcPr>
            <w:tcW w:w="320" w:type="dxa"/>
            <w:tcBorders/>
            <w:vAlign w:val="center"/>
          </w:tcPr>
          <w:p>
            <w:pPr>
              <w:pStyle w:val="TableContents"/>
              <w:bidi w:val="0"/>
              <w:spacing w:before="0" w:after="283"/>
              <w:ind w:left="0" w:right="0" w:hanging="180"/>
              <w:jc w:val="left"/>
              <w:rPr/>
            </w:pPr>
            <w:r>
              <w:rPr/>
              <w:t> </w:t>
            </w:r>
          </w:p>
        </w:tc>
      </w:tr>
      <w:tr>
        <w:trPr/>
        <w:tc>
          <w:tcPr>
            <w:tcW w:w="5027" w:type="dxa"/>
            <w:tcBorders/>
            <w:shd w:fill="CCEEFF" w:val="clear"/>
            <w:vAlign w:val="center"/>
          </w:tcPr>
          <w:p>
            <w:pPr>
              <w:pStyle w:val="TableContents"/>
              <w:bidi w:val="0"/>
              <w:spacing w:before="0" w:after="283"/>
              <w:jc w:val="left"/>
              <w:rPr>
                <w:b/>
              </w:rPr>
            </w:pPr>
            <w:r>
              <w:rPr>
                <w:b/>
              </w:rPr>
              <w:t>Loss for the period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(94,296</w:t>
            </w:r>
          </w:p>
        </w:tc>
        <w:tc>
          <w:tcPr>
            <w:tcW w:w="371"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b/>
              </w:rPr>
            </w:pPr>
            <w:r>
              <w:rPr>
                <w:b/>
              </w:rPr>
              <w:t>(2,849</w:t>
            </w:r>
          </w:p>
        </w:tc>
        <w:tc>
          <w:tcPr>
            <w:tcW w:w="298"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(172,601</w:t>
            </w:r>
          </w:p>
        </w:tc>
        <w:tc>
          <w:tcPr>
            <w:tcW w:w="298"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(49,442</w:t>
            </w:r>
          </w:p>
        </w:tc>
        <w:tc>
          <w:tcPr>
            <w:tcW w:w="320" w:type="dxa"/>
            <w:tcBorders/>
            <w:shd w:fill="CCEEFF" w:val="clear"/>
            <w:vAlign w:val="center"/>
          </w:tcPr>
          <w:p>
            <w:pPr>
              <w:pStyle w:val="TableContents"/>
              <w:bidi w:val="0"/>
              <w:spacing w:before="0" w:after="283"/>
              <w:ind w:left="0" w:right="0" w:hanging="180"/>
              <w:jc w:val="left"/>
              <w:rPr>
                <w:b/>
              </w:rPr>
            </w:pPr>
            <w:r>
              <w:rPr>
                <w:b/>
              </w:rPr>
              <w:t>)</w:t>
            </w:r>
          </w:p>
        </w:tc>
      </w:tr>
      <w:tr>
        <w:trPr/>
        <w:tc>
          <w:tcPr>
            <w:tcW w:w="5027" w:type="dxa"/>
            <w:tcBorders/>
            <w:shd w:fill="FFFFFF" w:val="clear"/>
            <w:vAlign w:val="center"/>
          </w:tcPr>
          <w:p>
            <w:pPr>
              <w:pStyle w:val="TableContents"/>
              <w:bidi w:val="0"/>
              <w:spacing w:before="0" w:after="283"/>
              <w:jc w:val="left"/>
              <w:rPr/>
            </w:pPr>
            <w:r>
              <w:rPr/>
              <w:t>Tax expenses/(credit)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3</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6</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63</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(252</w:t>
            </w:r>
          </w:p>
        </w:tc>
        <w:tc>
          <w:tcPr>
            <w:tcW w:w="320" w:type="dxa"/>
            <w:tcBorders/>
            <w:shd w:fill="FFFFFF" w:val="clear"/>
            <w:vAlign w:val="center"/>
          </w:tcPr>
          <w:p>
            <w:pPr>
              <w:pStyle w:val="TableContents"/>
              <w:bidi w:val="0"/>
              <w:spacing w:before="0" w:after="283"/>
              <w:ind w:left="0" w:right="0" w:hanging="180"/>
              <w:jc w:val="left"/>
              <w:rPr/>
            </w:pPr>
            <w:r>
              <w:rPr/>
              <w:t>)</w:t>
            </w:r>
          </w:p>
        </w:tc>
      </w:tr>
      <w:tr>
        <w:trPr/>
        <w:tc>
          <w:tcPr>
            <w:tcW w:w="502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3,563</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1,478</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7,165</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4,789</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5027"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(679</w:t>
            </w:r>
          </w:p>
        </w:tc>
        <w:tc>
          <w:tcPr>
            <w:tcW w:w="371"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(19</w:t>
            </w:r>
          </w:p>
        </w:tc>
        <w:tc>
          <w:tcPr>
            <w:tcW w:w="2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(873</w:t>
            </w:r>
          </w:p>
        </w:tc>
        <w:tc>
          <w:tcPr>
            <w:tcW w:w="2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w:t>
            </w:r>
          </w:p>
        </w:tc>
        <w:tc>
          <w:tcPr>
            <w:tcW w:w="320" w:type="dxa"/>
            <w:tcBorders/>
            <w:shd w:fill="FFFFFF" w:val="clear"/>
            <w:vAlign w:val="center"/>
          </w:tcPr>
          <w:p>
            <w:pPr>
              <w:pStyle w:val="TableContents"/>
              <w:bidi w:val="0"/>
              <w:spacing w:before="0" w:after="283"/>
              <w:ind w:left="0" w:right="0" w:hanging="180"/>
              <w:jc w:val="left"/>
              <w:rPr/>
            </w:pPr>
            <w:r>
              <w:rPr/>
              <w:t>)</w:t>
            </w:r>
          </w:p>
        </w:tc>
      </w:tr>
      <w:tr>
        <w:trPr/>
        <w:tc>
          <w:tcPr>
            <w:tcW w:w="5027" w:type="dxa"/>
            <w:tcBorders/>
            <w:shd w:fill="CCEEFF" w:val="clear"/>
            <w:vAlign w:val="center"/>
          </w:tcPr>
          <w:p>
            <w:pPr>
              <w:pStyle w:val="TableContents"/>
              <w:bidi w:val="0"/>
              <w:spacing w:before="0" w:after="283"/>
              <w:jc w:val="left"/>
              <w:rPr/>
            </w:pPr>
            <w:r>
              <w:rPr/>
              <w:t>Finance costs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13,657</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1,003</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19,028</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7,801</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50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5027" w:type="dxa"/>
            <w:tcBorders/>
            <w:shd w:fill="CCEEFF" w:val="clear"/>
            <w:vAlign w:val="center"/>
          </w:tcPr>
          <w:p>
            <w:pPr>
              <w:pStyle w:val="TableContents"/>
              <w:bidi w:val="0"/>
              <w:spacing w:before="0" w:after="283"/>
              <w:jc w:val="left"/>
              <w:rPr>
                <w:b/>
              </w:rPr>
            </w:pPr>
            <w:r>
              <w:rPr>
                <w:b/>
              </w:rPr>
              <w:t>EBITDA</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(77,752</w:t>
            </w:r>
          </w:p>
        </w:tc>
        <w:tc>
          <w:tcPr>
            <w:tcW w:w="371"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b/>
              </w:rPr>
            </w:pPr>
            <w:r>
              <w:rPr>
                <w:b/>
              </w:rPr>
              <w:t>(380</w:t>
            </w:r>
          </w:p>
        </w:tc>
        <w:tc>
          <w:tcPr>
            <w:tcW w:w="298"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(147,217</w:t>
            </w:r>
          </w:p>
        </w:tc>
        <w:tc>
          <w:tcPr>
            <w:tcW w:w="298"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(37,132</w:t>
            </w:r>
          </w:p>
        </w:tc>
        <w:tc>
          <w:tcPr>
            <w:tcW w:w="320" w:type="dxa"/>
            <w:tcBorders/>
            <w:shd w:fill="CCEEFF" w:val="clear"/>
            <w:vAlign w:val="center"/>
          </w:tcPr>
          <w:p>
            <w:pPr>
              <w:pStyle w:val="TableContents"/>
              <w:bidi w:val="0"/>
              <w:spacing w:before="0" w:after="283"/>
              <w:ind w:left="0" w:right="0" w:hanging="180"/>
              <w:jc w:val="left"/>
              <w:rPr>
                <w:b/>
              </w:rPr>
            </w:pPr>
            <w:r>
              <w:rPr>
                <w:b/>
              </w:rPr>
              <w:t>)</w:t>
            </w:r>
          </w:p>
        </w:tc>
      </w:tr>
      <w:tr>
        <w:trPr/>
        <w:tc>
          <w:tcPr>
            <w:tcW w:w="50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5027" w:type="dxa"/>
            <w:tcBorders/>
            <w:shd w:fill="CCEEFF" w:val="clear"/>
            <w:vAlign w:val="center"/>
          </w:tcPr>
          <w:p>
            <w:pPr>
              <w:pStyle w:val="TableContents"/>
              <w:bidi w:val="0"/>
              <w:spacing w:before="0" w:after="283"/>
              <w:jc w:val="left"/>
              <w:rPr/>
            </w:pPr>
            <w:r>
              <w:rPr/>
              <w:t>Non-cash items: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5027" w:type="dxa"/>
            <w:tcBorders/>
            <w:shd w:fill="FFFFFF" w:val="clear"/>
            <w:vAlign w:val="center"/>
          </w:tcPr>
          <w:p>
            <w:pPr>
              <w:pStyle w:val="TableContents"/>
              <w:bidi w:val="0"/>
              <w:spacing w:before="0" w:after="283"/>
              <w:jc w:val="left"/>
              <w:rPr/>
            </w:pPr>
            <w:r>
              <w:rPr/>
              <w:t>Changes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(123</w:t>
            </w:r>
          </w:p>
        </w:tc>
        <w:tc>
          <w:tcPr>
            <w:tcW w:w="371"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(134</w:t>
            </w:r>
          </w:p>
        </w:tc>
        <w:tc>
          <w:tcPr>
            <w:tcW w:w="2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57,333</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1,101</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5027" w:type="dxa"/>
            <w:tcBorders/>
            <w:shd w:fill="CCEEFF" w:val="clear"/>
            <w:vAlign w:val="center"/>
          </w:tcPr>
          <w:p>
            <w:pPr>
              <w:pStyle w:val="TableContents"/>
              <w:bidi w:val="0"/>
              <w:spacing w:before="0" w:after="283"/>
              <w:jc w:val="left"/>
              <w:rPr/>
            </w:pPr>
            <w:r>
              <w:rPr/>
              <w:t>Impairment of goodwill</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289</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4,383</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5027" w:type="dxa"/>
            <w:tcBorders/>
            <w:shd w:fill="FFFFFF" w:val="clear"/>
            <w:vAlign w:val="center"/>
          </w:tcPr>
          <w:p>
            <w:pPr>
              <w:pStyle w:val="TableContents"/>
              <w:bidi w:val="0"/>
              <w:spacing w:before="0" w:after="283"/>
              <w:jc w:val="left"/>
              <w:rPr/>
            </w:pPr>
            <w:r>
              <w:rPr/>
              <w:t>Impairment of other intangible assets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3,106</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(53</w:t>
            </w:r>
          </w:p>
        </w:tc>
        <w:tc>
          <w:tcPr>
            <w:tcW w:w="2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3,106</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1,451</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5027" w:type="dxa"/>
            <w:tcBorders/>
            <w:shd w:fill="CCEEFF" w:val="clear"/>
            <w:vAlign w:val="center"/>
          </w:tcPr>
          <w:p>
            <w:pPr>
              <w:pStyle w:val="TableContents"/>
              <w:bidi w:val="0"/>
              <w:spacing w:before="0" w:after="283"/>
              <w:jc w:val="left"/>
              <w:rPr/>
            </w:pPr>
            <w:r>
              <w:rPr/>
              <w:t>Equity settled share-based payment arising from employee share option scheme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5,653</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7,983</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6,629</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14,431</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5027" w:type="dxa"/>
            <w:tcBorders/>
            <w:shd w:fill="FFFFFF" w:val="clear"/>
            <w:vAlign w:val="center"/>
          </w:tcPr>
          <w:p>
            <w:pPr>
              <w:pStyle w:val="TableContents"/>
              <w:bidi w:val="0"/>
              <w:spacing w:before="0" w:after="283"/>
              <w:jc w:val="left"/>
              <w:rPr/>
            </w:pPr>
            <w:r>
              <w:rPr/>
              <w:t>Unrealized foreign exchange differences, net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(4,763</w:t>
            </w:r>
          </w:p>
        </w:tc>
        <w:tc>
          <w:tcPr>
            <w:tcW w:w="371"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(7,349</w:t>
            </w:r>
          </w:p>
        </w:tc>
        <w:tc>
          <w:tcPr>
            <w:tcW w:w="2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(895</w:t>
            </w:r>
          </w:p>
        </w:tc>
        <w:tc>
          <w:tcPr>
            <w:tcW w:w="2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3,389</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50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5027" w:type="dxa"/>
            <w:tcBorders/>
            <w:shd w:fill="FFFFFF" w:val="clear"/>
            <w:vAlign w:val="center"/>
          </w:tcPr>
          <w:p>
            <w:pPr>
              <w:pStyle w:val="TableContents"/>
              <w:bidi w:val="0"/>
              <w:spacing w:before="0" w:after="283"/>
              <w:jc w:val="left"/>
              <w:rPr/>
            </w:pPr>
            <w:r>
              <w:rPr/>
              <w:t>Listing and other non-recurring strategic exercises related items: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5027" w:type="dxa"/>
            <w:tcBorders/>
            <w:shd w:fill="CCEEFF" w:val="clear"/>
            <w:vAlign w:val="center"/>
          </w:tcPr>
          <w:p>
            <w:pPr>
              <w:pStyle w:val="TableContents"/>
              <w:bidi w:val="0"/>
              <w:spacing w:before="0" w:after="283"/>
              <w:jc w:val="left"/>
              <w:rPr/>
            </w:pPr>
            <w:r>
              <w:rPr/>
              <w:t>Share-based payment on listing</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67,027</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67,027</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5027" w:type="dxa"/>
            <w:tcBorders/>
            <w:shd w:fill="FFFFFF" w:val="clear"/>
            <w:vAlign w:val="center"/>
          </w:tcPr>
          <w:p>
            <w:pPr>
              <w:pStyle w:val="TableContents"/>
              <w:bidi w:val="0"/>
              <w:spacing w:before="0" w:after="283"/>
              <w:jc w:val="left"/>
              <w:rPr/>
            </w:pPr>
            <w:r>
              <w:rPr/>
              <w:t>Equity settled share-based payment arising from professional services in relation to listing</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500</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500</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5027" w:type="dxa"/>
            <w:tcBorders/>
            <w:shd w:fill="CCEEFF" w:val="clear"/>
            <w:vAlign w:val="center"/>
          </w:tcPr>
          <w:p>
            <w:pPr>
              <w:pStyle w:val="TableContents"/>
              <w:bidi w:val="0"/>
              <w:spacing w:before="0" w:after="283"/>
              <w:jc w:val="left"/>
              <w:rPr/>
            </w:pPr>
            <w:r>
              <w:rPr/>
              <w:t>Transaction expenses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1,739</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638</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6,643</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1,139</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5027" w:type="dxa"/>
            <w:tcBorders/>
            <w:shd w:fill="FFFFFF" w:val="clear"/>
            <w:vAlign w:val="center"/>
          </w:tcPr>
          <w:p>
            <w:pPr>
              <w:pStyle w:val="TableContents"/>
              <w:bidi w:val="0"/>
              <w:spacing w:before="0" w:after="283"/>
              <w:jc w:val="left"/>
              <w:rPr/>
            </w:pPr>
            <w:r>
              <w:rPr/>
              <w:t>Gain on derecognition of convertible loan and bridge loan</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(135</w:t>
            </w:r>
          </w:p>
        </w:tc>
        <w:tc>
          <w:tcPr>
            <w:tcW w:w="320" w:type="dxa"/>
            <w:tcBorders/>
            <w:shd w:fill="FFFFFF" w:val="clear"/>
            <w:vAlign w:val="center"/>
          </w:tcPr>
          <w:p>
            <w:pPr>
              <w:pStyle w:val="TableContents"/>
              <w:bidi w:val="0"/>
              <w:spacing w:before="0" w:after="283"/>
              <w:ind w:left="0" w:right="0" w:hanging="180"/>
              <w:jc w:val="left"/>
              <w:rPr/>
            </w:pPr>
            <w:r>
              <w:rPr/>
              <w:t>)</w:t>
            </w:r>
          </w:p>
        </w:tc>
      </w:tr>
      <w:tr>
        <w:trPr/>
        <w:tc>
          <w:tcPr>
            <w:tcW w:w="5027" w:type="dxa"/>
            <w:tcBorders/>
            <w:shd w:fill="CCEEFF" w:val="clear"/>
            <w:vAlign w:val="center"/>
          </w:tcPr>
          <w:p>
            <w:pPr>
              <w:pStyle w:val="TableContents"/>
              <w:bidi w:val="0"/>
              <w:spacing w:before="0" w:after="283"/>
              <w:jc w:val="left"/>
              <w:rPr/>
            </w:pPr>
            <w:r>
              <w:rPr/>
              <w:t>Equity-settled share-based payment expense arising from other fundraising activities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882</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882</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50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5027" w:type="dxa"/>
            <w:tcBorders/>
            <w:shd w:fill="CCEEFF" w:val="clear"/>
            <w:vAlign w:val="center"/>
          </w:tcPr>
          <w:p>
            <w:pPr>
              <w:pStyle w:val="TableContents"/>
              <w:bidi w:val="0"/>
              <w:spacing w:before="0" w:after="283"/>
              <w:jc w:val="left"/>
              <w:rPr/>
            </w:pPr>
            <w:r>
              <w:rPr/>
              <w:t>Other non-recurring items: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5027" w:type="dxa"/>
            <w:tcBorders/>
            <w:shd w:fill="FFFFFF" w:val="clear"/>
            <w:vAlign w:val="center"/>
          </w:tcPr>
          <w:p>
            <w:pPr>
              <w:pStyle w:val="TableContents"/>
              <w:bidi w:val="0"/>
              <w:spacing w:before="0" w:after="283"/>
              <w:jc w:val="left"/>
              <w:rPr/>
            </w:pPr>
            <w:r>
              <w:rPr/>
              <w:t>Government subsidies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(30</w:t>
            </w:r>
          </w:p>
        </w:tc>
        <w:tc>
          <w:tcPr>
            <w:tcW w:w="371"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(83</w:t>
            </w:r>
          </w:p>
        </w:tc>
        <w:tc>
          <w:tcPr>
            <w:tcW w:w="2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(79</w:t>
            </w:r>
          </w:p>
        </w:tc>
        <w:tc>
          <w:tcPr>
            <w:tcW w:w="2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(734</w:t>
            </w:r>
          </w:p>
        </w:tc>
        <w:tc>
          <w:tcPr>
            <w:tcW w:w="320" w:type="dxa"/>
            <w:tcBorders/>
            <w:shd w:fill="FFFFFF" w:val="clear"/>
            <w:vAlign w:val="center"/>
          </w:tcPr>
          <w:p>
            <w:pPr>
              <w:pStyle w:val="TableContents"/>
              <w:bidi w:val="0"/>
              <w:spacing w:before="0" w:after="283"/>
              <w:ind w:left="0" w:right="0" w:hanging="180"/>
              <w:jc w:val="left"/>
              <w:rPr/>
            </w:pPr>
            <w:r>
              <w:rPr/>
              <w:t>)</w:t>
            </w:r>
          </w:p>
        </w:tc>
      </w:tr>
      <w:tr>
        <w:trPr/>
        <w:tc>
          <w:tcPr>
            <w:tcW w:w="5027" w:type="dxa"/>
            <w:tcBorders/>
            <w:shd w:fill="CCEEFF" w:val="clear"/>
            <w:vAlign w:val="center"/>
          </w:tcPr>
          <w:p>
            <w:pPr>
              <w:pStyle w:val="TableContents"/>
              <w:bidi w:val="0"/>
              <w:spacing w:before="0" w:after="283"/>
              <w:jc w:val="left"/>
              <w:rPr/>
            </w:pPr>
            <w:r>
              <w:rPr/>
              <w:t>Other long-term employee benefits expense/(credit)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(4,614</w:t>
            </w:r>
          </w:p>
        </w:tc>
        <w:tc>
          <w:tcPr>
            <w:tcW w:w="29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110</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(4,951</w:t>
            </w:r>
          </w:p>
        </w:tc>
        <w:tc>
          <w:tcPr>
            <w:tcW w:w="320" w:type="dxa"/>
            <w:tcBorders/>
            <w:shd w:fill="CCEEFF" w:val="clear"/>
            <w:vAlign w:val="center"/>
          </w:tcPr>
          <w:p>
            <w:pPr>
              <w:pStyle w:val="TableContents"/>
              <w:bidi w:val="0"/>
              <w:spacing w:before="0" w:after="283"/>
              <w:ind w:left="0" w:right="0" w:hanging="180"/>
              <w:jc w:val="left"/>
              <w:rPr/>
            </w:pPr>
            <w:r>
              <w:rPr/>
              <w:t>)</w:t>
            </w:r>
          </w:p>
        </w:tc>
      </w:tr>
      <w:tr>
        <w:trPr/>
        <w:tc>
          <w:tcPr>
            <w:tcW w:w="5027" w:type="dxa"/>
            <w:tcBorders/>
            <w:shd w:fill="FFFFFF" w:val="clear"/>
            <w:vAlign w:val="center"/>
          </w:tcPr>
          <w:p>
            <w:pPr>
              <w:pStyle w:val="TableContents"/>
              <w:bidi w:val="0"/>
              <w:spacing w:before="0" w:after="283"/>
              <w:jc w:val="left"/>
              <w:rPr/>
            </w:pPr>
            <w:r>
              <w:rPr/>
              <w:t>Employee severance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308</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528</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50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5027"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b/>
              </w:rPr>
            </w:pPr>
            <w:r>
              <w:rPr>
                <w:b/>
              </w:rPr>
              <w:t>(4,643</w:t>
            </w:r>
          </w:p>
        </w:tc>
        <w:tc>
          <w:tcPr>
            <w:tcW w:w="371"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b/>
              </w:rPr>
            </w:pPr>
            <w:r>
              <w:rPr>
                <w:b/>
              </w:rPr>
              <w:t>(2,512</w:t>
            </w:r>
          </w:p>
        </w:tc>
        <w:tc>
          <w:tcPr>
            <w:tcW w:w="298"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(6,842</w:t>
            </w:r>
          </w:p>
        </w:tc>
        <w:tc>
          <w:tcPr>
            <w:tcW w:w="298"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(15,648</w:t>
            </w:r>
          </w:p>
        </w:tc>
        <w:tc>
          <w:tcPr>
            <w:tcW w:w="320" w:type="dxa"/>
            <w:tcBorders/>
            <w:shd w:fill="FFFFFF" w:val="clear"/>
            <w:vAlign w:val="center"/>
          </w:tcPr>
          <w:p>
            <w:pPr>
              <w:pStyle w:val="TableContents"/>
              <w:bidi w:val="0"/>
              <w:spacing w:before="0" w:after="283"/>
              <w:ind w:left="0" w:right="0" w:hanging="180"/>
              <w:jc w:val="left"/>
              <w:rPr>
                <w:b/>
              </w:rPr>
            </w:pPr>
            <w:r>
              <w:rPr>
                <w:b/>
              </w:rPr>
              <w:t>)</w:t>
            </w:r>
          </w:p>
        </w:tc>
      </w:tr>
      <w:tr>
        <w:trPr/>
        <w:tc>
          <w:tcPr>
            <w:tcW w:w="50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ind w:left="0" w:right="0" w:hanging="180"/>
              <w:jc w:val="left"/>
              <w:rPr/>
            </w:pPr>
            <w:r>
              <w:rPr/>
              <w:t> </w:t>
            </w:r>
          </w:p>
        </w:tc>
      </w:tr>
      <w:tr>
        <w:trPr/>
        <w:tc>
          <w:tcPr>
            <w:tcW w:w="5027"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26,397</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17,237</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80,671</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68,132</w:t>
            </w:r>
          </w:p>
        </w:tc>
        <w:tc>
          <w:tcPr>
            <w:tcW w:w="320" w:type="dxa"/>
            <w:tcBorders/>
            <w:shd w:fill="FFFFFF" w:val="clear"/>
            <w:vAlign w:val="center"/>
          </w:tcPr>
          <w:p>
            <w:pPr>
              <w:pStyle w:val="TableContents"/>
              <w:bidi w:val="0"/>
              <w:spacing w:before="0" w:after="283"/>
              <w:ind w:left="0" w:right="0" w:hanging="180"/>
              <w:jc w:val="left"/>
              <w:rPr/>
            </w:pPr>
            <w:r>
              <w:rPr/>
              <w:t> </w:t>
            </w:r>
          </w:p>
        </w:tc>
      </w:tr>
      <w:tr>
        <w:trPr/>
        <w:tc>
          <w:tcPr>
            <w:tcW w:w="5027"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(4,643</w:t>
            </w:r>
          </w:p>
        </w:tc>
        <w:tc>
          <w:tcPr>
            <w:tcW w:w="371"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(2,512</w:t>
            </w:r>
          </w:p>
        </w:tc>
        <w:tc>
          <w:tcPr>
            <w:tcW w:w="29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(6,842</w:t>
            </w:r>
          </w:p>
        </w:tc>
        <w:tc>
          <w:tcPr>
            <w:tcW w:w="29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(15,648</w:t>
            </w:r>
          </w:p>
        </w:tc>
        <w:tc>
          <w:tcPr>
            <w:tcW w:w="320" w:type="dxa"/>
            <w:tcBorders/>
            <w:shd w:fill="CCEEFF" w:val="clear"/>
            <w:vAlign w:val="center"/>
          </w:tcPr>
          <w:p>
            <w:pPr>
              <w:pStyle w:val="TableContents"/>
              <w:bidi w:val="0"/>
              <w:spacing w:before="0" w:after="283"/>
              <w:ind w:left="0" w:right="0" w:hanging="180"/>
              <w:jc w:val="left"/>
              <w:rPr/>
            </w:pPr>
            <w:r>
              <w:rPr/>
              <w:t>)</w:t>
            </w:r>
          </w:p>
        </w:tc>
      </w:tr>
      <w:tr>
        <w:trPr/>
        <w:tc>
          <w:tcPr>
            <w:tcW w:w="5027" w:type="dxa"/>
            <w:tcBorders/>
            <w:shd w:fill="FFFFFF" w:val="clear"/>
            <w:vAlign w:val="center"/>
          </w:tcPr>
          <w:p>
            <w:pPr>
              <w:pStyle w:val="TableContents"/>
              <w:bidi w:val="0"/>
              <w:spacing w:before="0" w:after="283"/>
              <w:jc w:val="left"/>
              <w:rPr>
                <w:b/>
              </w:rPr>
            </w:pPr>
            <w:r>
              <w:rPr>
                <w:b/>
              </w:rPr>
              <w:t>Adjusted EBITDA Margin</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b/>
              </w:rPr>
            </w:pPr>
            <w:r>
              <w:rPr>
                <w:b/>
              </w:rPr>
              <w:t>(17.6</w:t>
            </w:r>
          </w:p>
        </w:tc>
        <w:tc>
          <w:tcPr>
            <w:tcW w:w="371"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b/>
              </w:rPr>
            </w:pPr>
            <w:r>
              <w:rPr>
                <w:b/>
              </w:rPr>
              <w:t>(14.6</w:t>
            </w:r>
          </w:p>
        </w:tc>
        <w:tc>
          <w:tcPr>
            <w:tcW w:w="298"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(8.5</w:t>
            </w:r>
          </w:p>
        </w:tc>
        <w:tc>
          <w:tcPr>
            <w:tcW w:w="298"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(23.0</w:t>
            </w:r>
          </w:p>
        </w:tc>
        <w:tc>
          <w:tcPr>
            <w:tcW w:w="32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Revision to Preliminary, Unaudited Financial Information in Prior Press Releases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2024, and April 3, 2024, the Company issued certain press releases (the “January 24 and April 3 Press Releases”) announcing certain preliminary, unaudited financial information for the fourth quarter and the fiscal year ended December 31, 2023, including the unaudited fiscal year 2023 enterprise-wide revenue growth and fourth quarter 2023 revenue growth and the corresponding revenue growth in the Singapore and Hong Kong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included in the January 24 and April 3 Press Releases are unaudited and preliminary estimates that (i) represent the most current information available to management as of the date of the January 24 and April 3 Press Releases respectively, (ii) are subject to completion of financial closing and procedures that could result in significant changes to the estimated amounts, and (iii) do not present all information necessary for an understanding of the Company’s financial condition as of, and its results of operations for 2023. Accordingly, undue reliance should not be placed on such preliminary estimates set forth in the January 24 and April 3 Press Releases. Such information shall not be deemed “filed” for purposes of Section 18 of the Securities Exchange Act of 1934 or otherwise subject to the liabilities of that Section, nor shall it be deemed incorporated by reference in any registration statement or other document under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23 April, 2024, the Board of Directors of the Company (the “Board”), based on the recommendations of the Audit Committee of the Board and management, concluded that such preliminary, unaudited 2023 financial information should be revised to reflect the finalized estimates for the Group’s cost to fulfil rewards accrued for users, including estimated cash incentives. Both the revenue and cost of revenue for 2023 is revised downward by US$2.9M. The revision did not have an impact on the net loss and adjusted EBITDA for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adjustments had an impact on the results of operations of the Company for the fourth quarter and the fiscal year ended December 31, 2023, they have no impact on the results of operation of the Company in prior years. The preliminary results for the fourth quarter and the fiscal year ended December 31, 2023 set forth in this earnings release reflect these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Group’s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Group operates;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the COVID-19 pandemic or any other pandemic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registration statement on Form F-1, which was initially filed with the U.S. Securities and Exchange Commission (the “SEC”) on October 27, 2023, and other documents to be filed by the Company from time to time with the SEC.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ir@moneyherogroup.com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MoneyHero@gbpr.com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Profit or Loss and Other Comprehensive (Loss)/Income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3"/>
        <w:gridCol w:w="60"/>
        <w:gridCol w:w="77"/>
        <w:gridCol w:w="981"/>
        <w:gridCol w:w="123"/>
        <w:gridCol w:w="77"/>
        <w:gridCol w:w="77"/>
        <w:gridCol w:w="883"/>
        <w:gridCol w:w="95"/>
        <w:gridCol w:w="60"/>
        <w:gridCol w:w="60"/>
        <w:gridCol w:w="875"/>
        <w:gridCol w:w="95"/>
        <w:gridCol w:w="60"/>
        <w:gridCol w:w="60"/>
        <w:gridCol w:w="755"/>
        <w:gridCol w:w="114"/>
      </w:tblGrid>
      <w:tr>
        <w:trPr/>
        <w:tc>
          <w:tcPr>
            <w:tcW w:w="575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218"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For the Three Months Ended </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5" w:type="dxa"/>
            <w:gridSpan w:val="6"/>
            <w:tcBorders>
              <w:bottom w:val="single" w:sz="12" w:space="0" w:color="000000"/>
            </w:tcBorders>
            <w:tcMar>
              <w:bottom w:w="28" w:type="dxa"/>
            </w:tcMar>
            <w:vAlign w:val="center"/>
          </w:tcPr>
          <w:p>
            <w:pPr>
              <w:pStyle w:val="TableContents"/>
              <w:bidi w:val="0"/>
              <w:spacing w:before="0" w:after="283"/>
              <w:jc w:val="center"/>
              <w:rPr/>
            </w:pPr>
            <w:r>
              <w:rPr/>
              <w:t>For the Year Ended</w:t>
              <w:br/>
              <w:t>December 31,</w:t>
            </w:r>
          </w:p>
        </w:tc>
        <w:tc>
          <w:tcPr>
            <w:tcW w:w="114" w:type="dxa"/>
            <w:tcBorders/>
            <w:vAlign w:val="center"/>
          </w:tcPr>
          <w:p>
            <w:pPr>
              <w:pStyle w:val="TableContents"/>
              <w:bidi w:val="0"/>
              <w:spacing w:before="0" w:after="283"/>
              <w:ind w:left="0" w:right="0" w:hanging="180"/>
              <w:jc w:val="left"/>
              <w:rPr/>
            </w:pPr>
            <w:r>
              <w:rPr/>
              <w:t> </w:t>
            </w:r>
          </w:p>
        </w:tc>
      </w:tr>
      <w:tr>
        <w:trPr/>
        <w:tc>
          <w:tcPr>
            <w:tcW w:w="57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6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4" w:type="dxa"/>
            <w:tcBorders/>
            <w:vAlign w:val="center"/>
          </w:tcPr>
          <w:p>
            <w:pPr>
              <w:pStyle w:val="TableContents"/>
              <w:bidi w:val="0"/>
              <w:spacing w:before="0" w:after="283"/>
              <w:ind w:left="0" w:right="0" w:hanging="180"/>
              <w:jc w:val="left"/>
              <w:rPr/>
            </w:pPr>
            <w:r>
              <w:rPr/>
              <w:t> </w:t>
            </w:r>
          </w:p>
        </w:tc>
      </w:tr>
      <w:tr>
        <w:trPr/>
        <w:tc>
          <w:tcPr>
            <w:tcW w:w="57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8" w:type="dxa"/>
            <w:gridSpan w:val="14"/>
            <w:tcBorders/>
            <w:vAlign w:val="center"/>
          </w:tcPr>
          <w:p>
            <w:pPr>
              <w:pStyle w:val="TableContents"/>
              <w:bidi w:val="0"/>
              <w:spacing w:before="0" w:after="283"/>
              <w:jc w:val="center"/>
              <w:rPr/>
            </w:pPr>
            <w:r>
              <w:rPr/>
              <w:t>(US$ in thousands except for loss per share)</w:t>
            </w:r>
          </w:p>
        </w:tc>
        <w:tc>
          <w:tcPr>
            <w:tcW w:w="114" w:type="dxa"/>
            <w:tcBorders/>
            <w:vAlign w:val="center"/>
          </w:tcPr>
          <w:p>
            <w:pPr>
              <w:pStyle w:val="TableContents"/>
              <w:bidi w:val="0"/>
              <w:spacing w:before="0" w:after="283"/>
              <w:ind w:left="0" w:right="0" w:hanging="180"/>
              <w:jc w:val="left"/>
              <w:rPr/>
            </w:pPr>
            <w:r>
              <w:rPr/>
              <w:t> </w:t>
            </w:r>
          </w:p>
        </w:tc>
      </w:tr>
      <w:tr>
        <w:trPr/>
        <w:tc>
          <w:tcPr>
            <w:tcW w:w="5753"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26,397</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17,237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80,671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68,132</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7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753" w:type="dxa"/>
            <w:tcBorders/>
            <w:shd w:fill="CCEEFF" w:val="clear"/>
            <w:vAlign w:val="center"/>
          </w:tcPr>
          <w:p>
            <w:pPr>
              <w:pStyle w:val="TableContents"/>
              <w:bidi w:val="0"/>
              <w:spacing w:before="0" w:after="283"/>
              <w:jc w:val="left"/>
              <w:rPr>
                <w:b/>
              </w:rPr>
            </w:pPr>
            <w:r>
              <w:rPr>
                <w:b/>
              </w:rPr>
              <w:t>Cost and expenses: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753"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(17,601</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(8,120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(43,930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(33,881</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753" w:type="dxa"/>
            <w:tcBorders/>
            <w:shd w:fill="CCEEFF" w:val="clear"/>
            <w:vAlign w:val="center"/>
          </w:tcPr>
          <w:p>
            <w:pPr>
              <w:pStyle w:val="TableContents"/>
              <w:bidi w:val="0"/>
              <w:spacing w:before="0" w:after="283"/>
              <w:jc w:val="left"/>
              <w:rPr/>
            </w:pPr>
            <w:r>
              <w:rPr/>
              <w:t>Advertising and marketing expenses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(5,111</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(3,246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(16,473</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753" w:type="dxa"/>
            <w:tcBorders/>
            <w:shd w:fill="FFFFFF" w:val="clear"/>
            <w:vAlign w:val="center"/>
          </w:tcPr>
          <w:p>
            <w:pPr>
              <w:pStyle w:val="TableContents"/>
              <w:bidi w:val="0"/>
              <w:spacing w:before="0" w:after="283"/>
              <w:jc w:val="left"/>
              <w:rPr/>
            </w:pPr>
            <w:r>
              <w:rPr/>
              <w:t>Technology costs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(4,451</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(1,876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(6,554</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753" w:type="dxa"/>
            <w:tcBorders/>
            <w:shd w:fill="CCEEFF" w:val="clear"/>
            <w:vAlign w:val="center"/>
          </w:tcPr>
          <w:p>
            <w:pPr>
              <w:pStyle w:val="TableContents"/>
              <w:bidi w:val="0"/>
              <w:spacing w:before="0" w:after="283"/>
              <w:jc w:val="left"/>
              <w:rPr/>
            </w:pPr>
            <w:r>
              <w:rPr/>
              <w:t>Employee benefit expenses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(10,536</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(9,081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(24,931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(34,290</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753" w:type="dxa"/>
            <w:tcBorders/>
            <w:shd w:fill="FFFFFF" w:val="clear"/>
            <w:vAlign w:val="center"/>
          </w:tcPr>
          <w:p>
            <w:pPr>
              <w:pStyle w:val="TableContents"/>
              <w:bidi w:val="0"/>
              <w:spacing w:before="0" w:after="283"/>
              <w:jc w:val="left"/>
              <w:rPr/>
            </w:pPr>
            <w:r>
              <w:rPr/>
              <w:t>General, administrative and other operating expenses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(7,863</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(3,433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(13,855</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753" w:type="dxa"/>
            <w:tcBorders/>
            <w:shd w:fill="CCEEFF" w:val="clear"/>
            <w:vAlign w:val="center"/>
          </w:tcPr>
          <w:p>
            <w:pPr>
              <w:pStyle w:val="TableContents"/>
              <w:bidi w:val="0"/>
              <w:spacing w:before="0" w:after="283"/>
              <w:jc w:val="left"/>
              <w:rPr/>
            </w:pPr>
            <w:r>
              <w:rPr/>
              <w:t>Foreign exchange differences, net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4,802</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7,164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(4,052</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7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753"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(14,362</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(1,355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(40,973</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7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753" w:type="dxa"/>
            <w:tcBorders/>
            <w:shd w:fill="CCEEFF" w:val="clear"/>
            <w:vAlign w:val="center"/>
          </w:tcPr>
          <w:p>
            <w:pPr>
              <w:pStyle w:val="TableContents"/>
              <w:bidi w:val="0"/>
              <w:spacing w:before="0" w:after="283"/>
              <w:jc w:val="left"/>
              <w:rPr>
                <w:b/>
              </w:rPr>
            </w:pPr>
            <w:r>
              <w:rPr>
                <w:b/>
              </w:rPr>
              <w:t>Other income/(expenses):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753"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631</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(619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182</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753" w:type="dxa"/>
            <w:tcBorders/>
            <w:shd w:fill="CCEEFF" w:val="clear"/>
            <w:vAlign w:val="center"/>
          </w:tcPr>
          <w:p>
            <w:pPr>
              <w:pStyle w:val="TableContents"/>
              <w:bidi w:val="0"/>
              <w:spacing w:before="0" w:after="283"/>
              <w:jc w:val="left"/>
              <w:rPr/>
            </w:pPr>
            <w:r>
              <w:rPr/>
              <w:t>Share-based payment on listing</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(67,027</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753"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(13,657</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(19,028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(7,801</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753" w:type="dxa"/>
            <w:tcBorders/>
            <w:shd w:fill="CCEEFF" w:val="clear"/>
            <w:vAlign w:val="center"/>
          </w:tcPr>
          <w:p>
            <w:pPr>
              <w:pStyle w:val="TableContents"/>
              <w:bidi w:val="0"/>
              <w:spacing w:before="0" w:after="283"/>
              <w:jc w:val="left"/>
              <w:rPr/>
            </w:pPr>
            <w:r>
              <w:rPr/>
              <w:t>Changes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123</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(1,101</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7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753" w:type="dxa"/>
            <w:tcBorders/>
            <w:shd w:fill="CCEEFF" w:val="clear"/>
            <w:vAlign w:val="center"/>
          </w:tcPr>
          <w:p>
            <w:pPr>
              <w:pStyle w:val="TableContents"/>
              <w:bidi w:val="0"/>
              <w:spacing w:before="0" w:after="283"/>
              <w:jc w:val="left"/>
              <w:rPr>
                <w:b/>
              </w:rPr>
            </w:pPr>
            <w:r>
              <w:rPr>
                <w:b/>
              </w:rPr>
              <w:t>Loss before tax</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b/>
              </w:rPr>
            </w:pPr>
            <w:r>
              <w:rPr>
                <w:b/>
              </w:rPr>
              <w:t>(94,293</w:t>
            </w:r>
          </w:p>
        </w:tc>
        <w:tc>
          <w:tcPr>
            <w:tcW w:w="123" w:type="dxa"/>
            <w:tcBorders/>
            <w:shd w:fill="CCEEFF" w:val="clear"/>
            <w:vAlign w:val="center"/>
          </w:tcPr>
          <w:p>
            <w:pPr>
              <w:pStyle w:val="TableContents"/>
              <w:bidi w:val="0"/>
              <w:spacing w:before="0" w:after="283"/>
              <w:jc w:val="left"/>
              <w:rPr>
                <w:b/>
              </w:rPr>
            </w:pPr>
            <w:r>
              <w:rPr>
                <w:b/>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b/>
              </w:rPr>
            </w:pPr>
            <w:r>
              <w:rPr>
                <w:b/>
              </w:rPr>
              <w:t>(2,843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(172,538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(49,694</w:t>
            </w:r>
          </w:p>
        </w:tc>
        <w:tc>
          <w:tcPr>
            <w:tcW w:w="114" w:type="dxa"/>
            <w:tcBorders/>
            <w:shd w:fill="CCEEFF" w:val="clear"/>
            <w:vAlign w:val="center"/>
          </w:tcPr>
          <w:p>
            <w:pPr>
              <w:pStyle w:val="TableContents"/>
              <w:bidi w:val="0"/>
              <w:spacing w:before="0" w:after="283"/>
              <w:ind w:left="0" w:right="0" w:hanging="180"/>
              <w:jc w:val="left"/>
              <w:rPr>
                <w:b/>
              </w:rPr>
            </w:pPr>
            <w:r>
              <w:rPr>
                <w:b/>
              </w:rPr>
              <w:t>)</w:t>
            </w:r>
          </w:p>
        </w:tc>
      </w:tr>
      <w:tr>
        <w:trPr/>
        <w:tc>
          <w:tcPr>
            <w:tcW w:w="5753" w:type="dxa"/>
            <w:tcBorders/>
            <w:shd w:fill="FFFFFF" w:val="clear"/>
            <w:vAlign w:val="center"/>
          </w:tcPr>
          <w:p>
            <w:pPr>
              <w:pStyle w:val="TableContents"/>
              <w:bidi w:val="0"/>
              <w:spacing w:before="0" w:after="283"/>
              <w:jc w:val="left"/>
              <w:rPr/>
            </w:pPr>
            <w:r>
              <w:rPr/>
              <w:t>Income tax (expense)/credit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(3</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252</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753" w:type="dxa"/>
            <w:tcBorders/>
            <w:shd w:fill="CCEEFF" w:val="clear"/>
            <w:vAlign w:val="center"/>
          </w:tcPr>
          <w:p>
            <w:pPr>
              <w:pStyle w:val="TableContents"/>
              <w:bidi w:val="0"/>
              <w:spacing w:before="0" w:after="283"/>
              <w:jc w:val="left"/>
              <w:rPr>
                <w:b/>
              </w:rPr>
            </w:pPr>
            <w:r>
              <w:rPr>
                <w:b/>
              </w:rPr>
              <w:t>Loss for the period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b/>
              </w:rPr>
            </w:pPr>
            <w:r>
              <w:rPr>
                <w:b/>
              </w:rPr>
              <w:t>(94,296</w:t>
            </w:r>
          </w:p>
        </w:tc>
        <w:tc>
          <w:tcPr>
            <w:tcW w:w="123" w:type="dxa"/>
            <w:tcBorders/>
            <w:shd w:fill="CCEEFF" w:val="clear"/>
            <w:vAlign w:val="center"/>
          </w:tcPr>
          <w:p>
            <w:pPr>
              <w:pStyle w:val="TableContents"/>
              <w:bidi w:val="0"/>
              <w:spacing w:before="0" w:after="283"/>
              <w:jc w:val="left"/>
              <w:rPr>
                <w:b/>
              </w:rPr>
            </w:pPr>
            <w:r>
              <w:rPr>
                <w:b/>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b/>
              </w:rPr>
            </w:pPr>
            <w:r>
              <w:rPr>
                <w:b/>
              </w:rPr>
              <w:t>(2,849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(172,601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(49,442</w:t>
            </w:r>
          </w:p>
        </w:tc>
        <w:tc>
          <w:tcPr>
            <w:tcW w:w="114" w:type="dxa"/>
            <w:tcBorders/>
            <w:shd w:fill="CCEEFF" w:val="clear"/>
            <w:vAlign w:val="center"/>
          </w:tcPr>
          <w:p>
            <w:pPr>
              <w:pStyle w:val="TableContents"/>
              <w:bidi w:val="0"/>
              <w:spacing w:before="0" w:after="283"/>
              <w:ind w:left="0" w:right="0" w:hanging="180"/>
              <w:jc w:val="left"/>
              <w:rPr>
                <w:b/>
              </w:rPr>
            </w:pPr>
            <w:r>
              <w:rPr>
                <w:b/>
              </w:rPr>
              <w:t>)</w:t>
            </w:r>
          </w:p>
        </w:tc>
      </w:tr>
      <w:tr>
        <w:trPr/>
        <w:tc>
          <w:tcPr>
            <w:tcW w:w="5753" w:type="dxa"/>
            <w:tcBorders/>
            <w:shd w:fill="FFFFFF" w:val="clear"/>
            <w:vAlign w:val="center"/>
          </w:tcPr>
          <w:p>
            <w:pPr>
              <w:pStyle w:val="TableContents"/>
              <w:bidi w:val="0"/>
              <w:spacing w:before="0" w:after="283"/>
              <w:jc w:val="left"/>
              <w:rPr>
                <w:b/>
              </w:rPr>
            </w:pPr>
            <w:r>
              <w:rPr>
                <w:b/>
              </w:rPr>
              <w:t>Other comprehensive (loss)/income</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753" w:type="dxa"/>
            <w:tcBorders/>
            <w:shd w:fill="CCEEFF" w:val="clear"/>
            <w:vAlign w:val="center"/>
          </w:tcPr>
          <w:p>
            <w:pPr>
              <w:pStyle w:val="TableContents"/>
              <w:bidi w:val="0"/>
              <w:spacing w:before="0" w:after="283"/>
              <w:jc w:val="left"/>
              <w:rPr/>
            </w:pPr>
            <w:r>
              <w:rPr/>
              <w:t>Other comprehensive (loss)/income that may be classified to profit or loss in subsequent periods (net of tax):</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753" w:type="dxa"/>
            <w:tcBorders/>
            <w:shd w:fill="FFFFFF" w:val="clear"/>
            <w:vAlign w:val="center"/>
          </w:tcPr>
          <w:p>
            <w:pPr>
              <w:pStyle w:val="TableContents"/>
              <w:bidi w:val="0"/>
              <w:spacing w:before="0" w:after="283"/>
              <w:jc w:val="left"/>
              <w:rPr/>
            </w:pPr>
            <w:r>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(4,098</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(5,696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3,088</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753" w:type="dxa"/>
            <w:tcBorders/>
            <w:shd w:fill="CCEEFF" w:val="clear"/>
            <w:vAlign w:val="center"/>
          </w:tcPr>
          <w:p>
            <w:pPr>
              <w:pStyle w:val="TableContents"/>
              <w:bidi w:val="0"/>
              <w:spacing w:before="0" w:after="283"/>
              <w:jc w:val="left"/>
              <w:rPr/>
            </w:pPr>
            <w:r>
              <w:rPr/>
              <w:t>Other comprehensive (loss)/income that will not be reclassified to profit or loss in subsequent periods (net of tax):</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753" w:type="dxa"/>
            <w:tcBorders/>
            <w:shd w:fill="FFFFFF" w:val="clear"/>
            <w:vAlign w:val="center"/>
          </w:tcPr>
          <w:p>
            <w:pPr>
              <w:pStyle w:val="TableContents"/>
              <w:bidi w:val="0"/>
              <w:spacing w:before="0" w:after="283"/>
              <w:jc w:val="left"/>
              <w:rPr/>
            </w:pPr>
            <w:r>
              <w:rPr/>
              <w:t>Remeasurement (loss)/gains on defined benefit plan</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(9</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753" w:type="dxa"/>
            <w:tcBorders/>
            <w:shd w:fill="CCEEFF" w:val="clear"/>
            <w:vAlign w:val="center"/>
          </w:tcPr>
          <w:p>
            <w:pPr>
              <w:pStyle w:val="TableContents"/>
              <w:bidi w:val="0"/>
              <w:spacing w:before="0" w:after="283"/>
              <w:jc w:val="left"/>
              <w:rPr/>
            </w:pPr>
            <w:r>
              <w:rPr/>
              <w:t>Other comprehensive (loss)/income, net of tax</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(4,107</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(5,711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3,130</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7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753" w:type="dxa"/>
            <w:tcBorders/>
            <w:shd w:fill="CCEEFF" w:val="clear"/>
            <w:vAlign w:val="center"/>
          </w:tcPr>
          <w:p>
            <w:pPr>
              <w:pStyle w:val="TableContents"/>
              <w:bidi w:val="0"/>
              <w:spacing w:before="0" w:after="283"/>
              <w:jc w:val="left"/>
              <w:rPr>
                <w:b/>
              </w:rPr>
            </w:pPr>
            <w:r>
              <w:rPr>
                <w:b/>
              </w:rPr>
              <w:t>Total comprehensive loss, net of tax</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b/>
              </w:rPr>
            </w:pPr>
            <w:r>
              <w:rPr>
                <w:b/>
              </w:rPr>
              <w:t>(98,403</w:t>
            </w:r>
          </w:p>
        </w:tc>
        <w:tc>
          <w:tcPr>
            <w:tcW w:w="123" w:type="dxa"/>
            <w:tcBorders/>
            <w:shd w:fill="CCEEFF" w:val="clear"/>
            <w:vAlign w:val="center"/>
          </w:tcPr>
          <w:p>
            <w:pPr>
              <w:pStyle w:val="TableContents"/>
              <w:bidi w:val="0"/>
              <w:spacing w:before="0" w:after="283"/>
              <w:jc w:val="left"/>
              <w:rPr>
                <w:b/>
              </w:rPr>
            </w:pPr>
            <w:r>
              <w:rPr>
                <w:b/>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b/>
              </w:rPr>
            </w:pPr>
            <w:r>
              <w:rPr>
                <w:b/>
              </w:rPr>
              <w:t>(8,560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(173,451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(46,312</w:t>
            </w:r>
          </w:p>
        </w:tc>
        <w:tc>
          <w:tcPr>
            <w:tcW w:w="114" w:type="dxa"/>
            <w:tcBorders/>
            <w:shd w:fill="CCEEFF" w:val="clear"/>
            <w:vAlign w:val="center"/>
          </w:tcPr>
          <w:p>
            <w:pPr>
              <w:pStyle w:val="TableContents"/>
              <w:bidi w:val="0"/>
              <w:spacing w:before="0" w:after="283"/>
              <w:ind w:left="0" w:right="0" w:hanging="180"/>
              <w:jc w:val="left"/>
              <w:rPr>
                <w:b/>
              </w:rPr>
            </w:pPr>
            <w:r>
              <w:rPr>
                <w:b/>
              </w:rPr>
              <w:t>)</w:t>
            </w:r>
          </w:p>
        </w:tc>
      </w:tr>
      <w:tr>
        <w:trPr/>
        <w:tc>
          <w:tcPr>
            <w:tcW w:w="57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753" w:type="dxa"/>
            <w:tcBorders/>
            <w:shd w:fill="CCEEFF" w:val="clear"/>
            <w:vAlign w:val="center"/>
          </w:tcPr>
          <w:p>
            <w:pPr>
              <w:pStyle w:val="TableContents"/>
              <w:bidi w:val="0"/>
              <w:spacing w:before="0" w:after="283"/>
              <w:jc w:val="left"/>
              <w:rPr/>
            </w:pPr>
            <w:r>
              <w:rPr/>
              <w:t>Loss per share attributable to ordinary equity holders of the parent Basic and diluted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(2.8</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(102.4</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spacing w:before="0" w:after="0"/>
        <w:ind w:left="0" w:right="0" w:hanging="0"/>
        <w:jc w:val="left"/>
        <w:rPr>
          <w:caps w:val="false"/>
          <w:smallCaps w:val="false"/>
        </w:rPr>
      </w:pPr>
      <w:r>
        <w:rPr>
          <w:caps w:val="false"/>
          <w:smallCaps w:val="false"/>
        </w:rPr>
        <w:t> </w:t>
      </w:r>
    </w:p>
    <w:tbl>
      <w:tblPr>
        <w:tblW w:w="8038" w:type="dxa"/>
        <w:jc w:val="left"/>
        <w:tblInd w:w="0" w:type="dxa"/>
        <w:tblLayout w:type="fixed"/>
        <w:tblCellMar>
          <w:top w:w="0" w:type="dxa"/>
          <w:left w:w="0" w:type="dxa"/>
          <w:bottom w:w="0" w:type="dxa"/>
          <w:right w:w="0" w:type="dxa"/>
        </w:tblCellMar>
      </w:tblPr>
      <w:tblGrid>
        <w:gridCol w:w="5075"/>
        <w:gridCol w:w="60"/>
        <w:gridCol w:w="93"/>
        <w:gridCol w:w="1261"/>
        <w:gridCol w:w="60"/>
        <w:gridCol w:w="60"/>
        <w:gridCol w:w="108"/>
        <w:gridCol w:w="1246"/>
        <w:gridCol w:w="75"/>
      </w:tblGrid>
      <w:tr>
        <w:trPr/>
        <w:tc>
          <w:tcPr>
            <w:tcW w:w="5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vAlign w:val="center"/>
          </w:tcPr>
          <w:p>
            <w:pPr>
              <w:pStyle w:val="TableContents"/>
              <w:bidi w:val="0"/>
              <w:spacing w:before="0" w:after="283"/>
              <w:jc w:val="center"/>
              <w:rPr/>
            </w:pPr>
            <w:r>
              <w:rPr/>
              <w:t xml:space="preserve">As of </w:t>
              <w:br/>
              <w:t>December 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vAlign w:val="center"/>
          </w:tcPr>
          <w:p>
            <w:pPr>
              <w:pStyle w:val="TableContents"/>
              <w:bidi w:val="0"/>
              <w:spacing w:before="0" w:after="283"/>
              <w:jc w:val="center"/>
              <w:rPr/>
            </w:pPr>
            <w:r>
              <w:rPr/>
              <w:t xml:space="preserve">As of </w:t>
              <w:br/>
              <w:t>December 31,</w:t>
            </w:r>
          </w:p>
        </w:tc>
        <w:tc>
          <w:tcPr>
            <w:tcW w:w="75" w:type="dxa"/>
            <w:tcBorders/>
            <w:vAlign w:val="center"/>
          </w:tcPr>
          <w:p>
            <w:pPr>
              <w:pStyle w:val="TableContents"/>
              <w:bidi w:val="0"/>
              <w:spacing w:before="0" w:after="283"/>
              <w:jc w:val="center"/>
              <w:rPr/>
            </w:pPr>
            <w:r>
              <w:rPr/>
              <w:t> </w:t>
            </w:r>
          </w:p>
        </w:tc>
      </w:tr>
      <w:tr>
        <w:trPr/>
        <w:tc>
          <w:tcPr>
            <w:tcW w:w="5075" w:type="dxa"/>
            <w:tcBorders>
              <w:bottom w:val="single" w:sz="12" w:space="0" w:color="000000"/>
            </w:tcBorders>
            <w:tcMar>
              <w:bottom w:w="28" w:type="dxa"/>
            </w:tcMar>
            <w:vAlign w:val="center"/>
          </w:tcPr>
          <w:p>
            <w:pPr>
              <w:pStyle w:val="TableContents"/>
              <w:bidi w:val="0"/>
              <w:spacing w:before="0" w:after="283"/>
              <w:jc w:val="left"/>
              <w:rPr/>
            </w:pPr>
            <w:r>
              <w:rPr/>
              <w:t>(US$ in thousands)</w:t>
            </w:r>
          </w:p>
        </w:tc>
        <w:tc>
          <w:tcPr>
            <w:tcW w:w="60" w:type="dxa"/>
            <w:tcBorders/>
            <w:vAlign w:val="center"/>
          </w:tcPr>
          <w:p>
            <w:pPr>
              <w:pStyle w:val="TableContents"/>
              <w:bidi w:val="0"/>
              <w:spacing w:before="0" w:after="283"/>
              <w:jc w:val="center"/>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center"/>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NON-CURRENT ASSETS</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Other intangible assets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7,294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14,407</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Property and equipment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294</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778</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129</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8,100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15,608</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17,236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9,684</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16,025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11,140</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Prepayments, deposits and other receivables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4,855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3,524</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Tax recoverable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22</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Pledged bank deposits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196</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68,641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24,078</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106,947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48,644</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23,840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16,654</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Other payables and accruals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9,382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6,553</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Convertible loans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Interest-bearing borrowings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Other derivative financial instruments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2,796</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1,840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12,449</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493</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Provisions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66</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35,708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39,011</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NET CURRENT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71,239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9,633</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TOTAL ASSETS LESS CURRENT LIABILITIES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79,339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25,241</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293</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Other payables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209</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Interest-bearing borrowings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8,745</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36</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Provisions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136</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Total non-current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9,419</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Net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79,084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15,822</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EQUITY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Issued capital</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Reserves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79,080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15,820</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Total equity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79,084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15,822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4862</Words>
  <Characters>26441</Characters>
  <CharactersWithSpaces>32843</CharactersWithSpaces>
  <Paragraphs>3591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