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82026_120827.xml.htm"/>
      <w:bookmarkStart w:id="1" w:name="ksform408082026_1208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Thong Hei Wa Jacqueline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MONEYHERO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SHENTON WAY #18-15, EON SHENTON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S079118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MoneyHero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10,110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being reported late due to inadvertent administrative oversight.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restricted share units (the "RSUs"). Each RSU represents a contingent right to receive one Class A ordinary share of the Issuer upon settlement. 100% of the RSUs will vest on August 17, 2026, subject to the Reporting Person's continued service with the Issuer through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Ming Hei Jasper Yip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736" TargetMode="External"/><Relationship Id="rId5" Type="http://schemas.openxmlformats.org/officeDocument/2006/relationships/hyperlink" Target="http://www.sec.gov/cgi-bin/browse-edgar?action=getcompany&amp;CIK=0001974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3421</Characters>
  <CharactersWithSpaces>3982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