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82026_120848.xml.htm"/>
      <w:bookmarkStart w:id="1" w:name="ksform408082026_12084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118"/>
        <w:gridCol w:w="3063"/>
        <w:gridCol w:w="3024"/>
      </w:tblGrid>
      <w:tr>
        <w:trPr/>
        <w:tc>
          <w:tcPr>
            <w:tcW w:w="4118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Wang Daniel Hua-chang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MONEYHERO LIMITED</w:t>
                  </w:r>
                </w:p>
              </w:tc>
            </w:tr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 SHENTON WAY #18-15, EON SHENTON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SINGAPORE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S079118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332"/>
              <w:gridCol w:w="1333"/>
              <w:gridCol w:w="1333"/>
            </w:tblGrid>
            <w:tr>
              <w:trPr/>
              <w:tc>
                <w:tcPr>
                  <w:tcW w:w="133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33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998"/>
            </w:tblGrid>
            <w:tr>
              <w:trPr/>
              <w:tc>
                <w:tcPr>
                  <w:tcW w:w="39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SINGAPORE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06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MoneyHero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MNY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24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5"/>
              <w:gridCol w:w="1017"/>
              <w:gridCol w:w="435"/>
              <w:gridCol w:w="1017"/>
            </w:tblGrid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17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0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1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4"/>
              <w:gridCol w:w="2470"/>
            </w:tblGrid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7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05"/>
        <w:gridCol w:w="906"/>
        <w:gridCol w:w="774"/>
        <w:gridCol w:w="601"/>
        <w:gridCol w:w="351"/>
        <w:gridCol w:w="979"/>
        <w:gridCol w:w="460"/>
        <w:gridCol w:w="623"/>
        <w:gridCol w:w="1173"/>
        <w:gridCol w:w="1005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42,556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260,696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is being reported late due to inadvertent administrative oversight.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restricted share units (the "RSUs"). Each RSU represents a contingent right to receive one Class A ordinary share of the Issuer upon settlement. 100% of the RSUs will vest on August 17, 2026, subject to the Reporting Person's continued service with the Issuer through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Ming Hei Jasper Yip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3550" TargetMode="External"/><Relationship Id="rId5" Type="http://schemas.openxmlformats.org/officeDocument/2006/relationships/hyperlink" Target="http://www.sec.gov/cgi-bin/browse-edgar?action=getcompany&amp;CIK=000197404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3430</Characters>
  <CharactersWithSpaces>3990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