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082026_120813.xml.htm"/>
      <w:bookmarkStart w:id="1" w:name="ksform408082026_12081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118"/>
        <w:gridCol w:w="3063"/>
        <w:gridCol w:w="3024"/>
      </w:tblGrid>
      <w:tr>
        <w:trPr/>
        <w:tc>
          <w:tcPr>
            <w:tcW w:w="4118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98"/>
            </w:tblGrid>
            <w:tr>
              <w:trPr/>
              <w:tc>
                <w:tcPr>
                  <w:tcW w:w="399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Syz Marc Oliver Christopher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32"/>
              <w:gridCol w:w="1333"/>
              <w:gridCol w:w="1333"/>
            </w:tblGrid>
            <w:tr>
              <w:trPr/>
              <w:tc>
                <w:tcPr>
                  <w:tcW w:w="133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33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33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98"/>
            </w:tblGrid>
            <w:tr>
              <w:trPr/>
              <w:tc>
                <w:tcPr>
                  <w:tcW w:w="399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MONEYHERO LIMITED</w:t>
                  </w:r>
                </w:p>
              </w:tc>
            </w:tr>
            <w:tr>
              <w:trPr/>
              <w:tc>
                <w:tcPr>
                  <w:tcW w:w="399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70 SHENTON WAY #18-15, EON SHENTON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32"/>
              <w:gridCol w:w="1333"/>
              <w:gridCol w:w="1333"/>
            </w:tblGrid>
            <w:tr>
              <w:trPr/>
              <w:tc>
                <w:tcPr>
                  <w:tcW w:w="133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SINGAPORE</w:t>
                  </w:r>
                </w:p>
              </w:tc>
              <w:tc>
                <w:tcPr>
                  <w:tcW w:w="133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SINGAPORE</w:t>
                  </w:r>
                </w:p>
              </w:tc>
              <w:tc>
                <w:tcPr>
                  <w:tcW w:w="133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S079118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32"/>
              <w:gridCol w:w="1333"/>
              <w:gridCol w:w="1333"/>
            </w:tblGrid>
            <w:tr>
              <w:trPr/>
              <w:tc>
                <w:tcPr>
                  <w:tcW w:w="133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33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33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98"/>
            </w:tblGrid>
            <w:tr>
              <w:trPr/>
              <w:tc>
                <w:tcPr>
                  <w:tcW w:w="399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SINGAPORE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063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MoneyHero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MNY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24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35"/>
              <w:gridCol w:w="1017"/>
              <w:gridCol w:w="435"/>
              <w:gridCol w:w="1017"/>
            </w:tblGrid>
            <w:tr>
              <w:trPr/>
              <w:tc>
                <w:tcPr>
                  <w:tcW w:w="43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17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3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17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3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17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3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17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04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1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30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411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34"/>
              <w:gridCol w:w="2470"/>
            </w:tblGrid>
            <w:tr>
              <w:trPr/>
              <w:tc>
                <w:tcPr>
                  <w:tcW w:w="4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47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7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05"/>
        <w:gridCol w:w="906"/>
        <w:gridCol w:w="774"/>
        <w:gridCol w:w="601"/>
        <w:gridCol w:w="351"/>
        <w:gridCol w:w="979"/>
        <w:gridCol w:w="460"/>
        <w:gridCol w:w="623"/>
        <w:gridCol w:w="1173"/>
        <w:gridCol w:w="1005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0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0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0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Shares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42,556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6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269,706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is being reported late due to inadvertent administrative oversight.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restricted share units (the "RSUs"). Each RSU represents a contingent right to receive one Class A ordinary share of the Issuer upon settlement. 100% of the RSUs will vest on August 17, 2026, subject to the Reporting Person's continued service with the Issuer through such vesting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Ming Hei Jasper Yip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00774" TargetMode="External"/><Relationship Id="rId5" Type="http://schemas.openxmlformats.org/officeDocument/2006/relationships/hyperlink" Target="http://www.sec.gov/cgi-bin/browse-edgar?action=getcompany&amp;CIK=000197404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631</Words>
  <Characters>3438</Characters>
  <CharactersWithSpaces>4000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