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Mark One</w:t>
      </w:r>
      <w:r>
        <w:rPr>
          <w:rFonts w:ascii="Times New Roman" w:cs="Times New Roman" w:eastAsia="Times New Roman" w:hAnsi="Times New Roman"/>
          <w:sz w:val="18"/>
          <w:szCs w:val="18"/>
          <w:b w:val="1"/>
          <w:bCs w:val="1"/>
          <w:color w:val="auto"/>
        </w:rPr>
        <w:t>)</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0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340" w:hanging="214"/>
        <w:spacing w:after="0"/>
        <w:tabs>
          <w:tab w:leader="none" w:pos="1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940" w:hanging="214"/>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25" w:lineRule="exact"/>
        <w:rPr>
          <w:sz w:val="24"/>
          <w:szCs w:val="24"/>
          <w:color w:val="auto"/>
        </w:rPr>
      </w:pPr>
    </w:p>
    <w:p>
      <w:pPr>
        <w:ind w:left="38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(Translation of Registrant’s name into English)</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+65 6322 4392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Danny Leung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 and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+65 6322 4392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IR@MoneyHeroGroup.com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Securities Exchange Act of 1934, as amended (the “Exchange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MNY</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MNYWW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Exchange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Exchange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982"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30,572,252 Class A Ordinary Shares, par value $0.0001 per share (“Class A Ordinary Shares”), 13,254,838 Class B Ordinary Shares, par value $0.0001 per share (“Class B Ordinary Shares”), and 2,407,575 Preference Shares, par value $0.0001 per share (“Preference Shares”) issued and outstanding.</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121" w:lineRule="exact"/>
        <w:rPr>
          <w:sz w:val="20"/>
          <w:szCs w:val="20"/>
          <w:color w:val="auto"/>
        </w:rPr>
      </w:pPr>
    </w:p>
    <w:p>
      <w:pPr>
        <w:spacing w:after="0" w:line="207"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9" w:lineRule="exact"/>
        <w:rPr>
          <w:sz w:val="20"/>
          <w:szCs w:val="20"/>
          <w:color w:val="auto"/>
        </w:rPr>
      </w:pPr>
    </w:p>
    <w:p>
      <w:pPr>
        <w:sectPr>
          <w:pgSz w:w="11900" w:h="16838" w:orient="portrait"/>
          <w:cols w:equalWidth="0" w:num="6">
            <w:col w:w="980" w:space="720"/>
            <w:col w:w="160" w:space="520"/>
            <w:col w:w="5340" w:space="720"/>
            <w:col w:w="160" w:space="420"/>
            <w:col w:w="940" w:space="720"/>
            <w:col w:w="560"/>
          </w:cols>
          <w:pgMar w:left="320" w:top="877"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to Form 20-F (this “Amendment”) amends the annual report on Form 20-F of MoneyHero Limited for the year ended December 31, 2025, which was filed with the U.S. Securities and Exchange Commission (the “SEC”) on April 30, 2026 (the “Original Report”). This Amendment is being filed solely to correct certain typographical errors introduced during the document preparation and filing process in the Edgarized version of the Report of Former Independent Registered Public Accounting Firm financial statement audit opinion of Ernst &amp; Young included on page F-3 of the Original Report, one of which was also reflected in the Edgarized consent of Ernst &amp; Young attached to the Original Report as Exhibit 15.2.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Rule 12b-15 promulgated under the Securities Exchange Act, as amended (the “Exchange Act”), we have included the entire text of Items 8 and 18 of the Original Report in this Amendment. However, there have been no changes made to the text of such items other than the changes stated in the immediately preceding paragraph. As required by Rule 12b-15 under the Exchange Act, currently dated certifications by our principal executive officer and principal financial officer are being filed as Exhibit 12 and furnished as Exhibit 13 to this Amendment. Currently dated consents of our independent registered public accounting firm and former independent registered public accounting firm are also being filed as Exhibits 15.1 and 15.2 hereto. As a result, Item 19 of the Original Report has also been modified.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does not reflect events occurring after the filing of the Original Report and does not modify or update the disclosure therein in any way except as described above or herein. No other changes have been made to the Original Report. The filing of this Amendment should not be understood to mean that any statements contained in the Original Report, as amended by this Amendment, are true or complete as of any date subsequent to the original filing date of the Original Report. Unless otherwise stated herein, all disclosures referenced as being made “as of the date of this Annual Report” or similar language are speaking as of the date of the Original Report. This Amendment should be read in conjunction with the Original Report and any subsequent filings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780" w:type="dxa"/>
            <w:vAlign w:val="bottom"/>
            <w:gridSpan w:val="2"/>
            <w:shd w:val="clear" w:color="auto" w:fill="CCEEFF"/>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60" w:type="dxa"/>
            <w:vAlign w:val="bottom"/>
            <w:gridSpan w:val="5"/>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6780" w:type="dxa"/>
            <w:vAlign w:val="bottom"/>
            <w:gridSpan w:val="2"/>
            <w:shd w:val="clear" w:color="auto" w:fill="CCEEFF"/>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780" w:type="dxa"/>
            <w:vAlign w:val="bottom"/>
            <w:gridSpan w:val="2"/>
            <w:shd w:val="clear" w:color="auto" w:fill="CCEEFF"/>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1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3360" w:type="dxa"/>
            <w:vAlign w:val="bottom"/>
            <w:gridSpan w:val="5"/>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780" w:type="dxa"/>
            <w:vAlign w:val="bottom"/>
            <w:gridSpan w:val="2"/>
            <w:shd w:val="clear" w:color="auto" w:fill="CCEEFF"/>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3360" w:type="dxa"/>
            <w:vAlign w:val="bottom"/>
            <w:gridSpan w:val="5"/>
          </w:tcPr>
          <w:p>
            <w:pPr>
              <w:ind w:left="2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780" w:type="dxa"/>
            <w:vAlign w:val="bottom"/>
            <w:gridSpan w:val="2"/>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1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SIGNATURES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780" w:type="dxa"/>
            <w:vAlign w:val="bottom"/>
            <w:gridSpan w:val="2"/>
          </w:tcPr>
          <w:p>
            <w:pPr>
              <w:jc w:val="center"/>
              <w:ind w:left="579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446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588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not currently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See also “Item 3. Key Information—D. Risk Factors—Risks Related to Our Business and Industry—We may be subject to complaints, litigation, arbitration proceedings and regulatory investigations and inquiries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Under Cayman Islands law, a Cayman Islands company may pay a dividend out of either profits (including retained earnings) or share premium, provided that in no circumstances may a dividend be paid if this would result in us being unable to pay our debts as they fall due in the ordinary course of our business. Even if our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our board of directors. It is expected that we will retain most, if not all, of our available funds and any future earnings to fund the development and growth of our business. As a result, it is not expected that we will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MoneyHero Limited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Second Amended and Restated Memorandum and Articles of Association of the Registrant (incorporated by reference to Exhibit 1.1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Shell Company Report on Form 20-F (File No. 001-41838) filed with the SEC on October 20, 2023)</w:t>
              </w:r>
            </w:hyperlink>
          </w:p>
        </w:tc>
        <w:tc>
          <w:tcPr>
            <w:tcW w:w="28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Description of Securities of the Registrant (incorporated by reference to Exhibit 2.1 to Annual Report on Form 20-F (File No. 001-41838)</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filed with the SEC on April 29, 2024)</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specimen share certificate of the Registrant (incorporated by reference to Exhibit 4.1 to the Registration Statement on Form 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7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(File No. 333-274454) filed with the SEC on September 11, 2023)</w:t>
              </w:r>
            </w:hyperlink>
          </w:p>
        </w:tc>
        <w:tc>
          <w:tcPr>
            <w:tcW w:w="532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specimen warrant certificate of Public Warrants and Sponsor Warrants (incorporated by reference to Exhibit 4.2 to the Registration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Statement on Form F-4 (File No. 333-274454) filed with the SEC on September 11,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specimen warrant certificate of Class A Warrants (incorporated by reference to Exhibit 4.3 to the Registration Statement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F-4 (File No. 333-274454) filed with the SEC on September 11,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Assignment, Assumption and Amendment Agreement, dated as of May 25, 2023, by and among Continental Stock Transfer &amp; Trust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Company, MoneyHero Limited and Bridgetown Holdings Limited (incorporated by reference to Exhibit 10.4 to the Registration Statement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on Form F-4 (File No. 333-274454) filed with the SEC on September 11,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Sponsor Support Agreement and Deed, dated as of May 25, 2023, by and among Bridgetown Holdings Limited, MoneyHero Limited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CompareAsia Group Capital Limited (incorporated by reference to Exhibit 10.2 to the Registration Statement on Form F-4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274454) filed with the SEC on September 11,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Registration Rights Agreement, dated as of May 25, 2023, by and among Bridgetown Holdings Limited, Bridgetown LLC, MoneyHero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Limited and the undersigned parties listed as “Holders” thereto (incorporated by reference to Exhibit 10.3 to the Registration Statement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F-4 (File No. 333-274454) filed with the SEC on September 11, 2023)</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CGCL Class A Warrant Supplemental Deed, dated as of May 25, 2023, by and among Bridgetown Holdings Limited, CompareAsia Group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Capital Limited and MoneyHero Limited (incorporated by reference to Exhibit 10.5 to the Registration Statement on Form F-4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8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333-274454) filed with the SEC on September 11, 2023)</w:t>
              </w:r>
            </w:hyperlink>
          </w:p>
        </w:tc>
        <w:tc>
          <w:tcPr>
            <w:tcW w:w="602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Class A Warrant Instrument (incorporated by reference to Exhibit 10.7 to the Registration Statement on Form F-4 (File No. 333-</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274454) filed with the SEC on September 11, 2023)</w:t>
              </w:r>
            </w:hyperlink>
          </w:p>
        </w:tc>
        <w:tc>
          <w:tcPr>
            <w:tcW w:w="0" w:type="dxa"/>
            <w:vAlign w:val="bottom"/>
          </w:tcPr>
          <w:p>
            <w:pPr>
              <w:spacing w:after="0"/>
              <w:rPr>
                <w:sz w:val="1"/>
                <w:szCs w:val="1"/>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top w:val="single" w:sz="8" w:color="0000EE"/>
              <w:bottom w:val="single" w:sz="8" w:color="auto"/>
            </w:tcBorders>
            <w:gridSpan w:val="2"/>
          </w:tcPr>
          <w:p>
            <w:pPr>
              <w:spacing w:after="0"/>
              <w:rPr>
                <w:sz w:val="24"/>
                <w:szCs w:val="24"/>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2023 Equity Incentive Plan (incorporated by reference to Exhibit 4.5 to Shell Company Report on Form 20-F (File No. 001-41838) filed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with the SEC on October 20, 2023)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Class A Warrant Agreement (incorporated by reference to Exhibit 10.19 to the Registration Statement on Form F-4 (File No. 333-</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274454) filed with the SEC on September 11, 2023)</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Indemnification Agreement (incorporated by reference to Exhibit 4.6 to Shell Company Report on Form 20-F (File No. 001-</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41838) filed with the SEC on October 20, 2023)</w:t>
              </w:r>
            </w:hyperlink>
          </w:p>
        </w:tc>
        <w:tc>
          <w:tcPr>
            <w:tcW w:w="660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Code of Ethics (incorporated by reference to Exhibit 11.1 to Annual Report on Form 20-F (File No. 001-41838) filed with the SEC on April</w:t>
              </w:r>
            </w:hyperlink>
          </w:p>
        </w:tc>
      </w:tr>
      <w:tr>
        <w:trPr>
          <w:trHeight w:val="196"/>
        </w:trPr>
        <w:tc>
          <w:tcPr>
            <w:tcW w:w="1140" w:type="dxa"/>
            <w:vAlign w:val="bottom"/>
          </w:tcPr>
          <w:p>
            <w:pPr>
              <w:spacing w:after="0"/>
              <w:rPr>
                <w:sz w:val="17"/>
                <w:szCs w:val="17"/>
                <w:color w:val="auto"/>
              </w:rPr>
            </w:pPr>
          </w:p>
        </w:tc>
        <w:tc>
          <w:tcPr>
            <w:tcW w:w="1120" w:type="dxa"/>
            <w:vAlign w:val="bottom"/>
            <w:gridSpan w:val="2"/>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29, 2024)</w:t>
              </w:r>
            </w:hyperlink>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Insider Trading Policy (incorporated by reference to Exhibit 11.2 to Annual Report on Form 20-F (File No. 001-41838) filed with the SEC</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on April 29,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Certificate of the Principal Executive Officer and Principal Financial Officer pursuant to Section 302 of the Sarbanes-Oxley Act of 2002</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by Principal Executive Officer and Principal Financial Officer pursuant to Section 906 of the Sarbanes-Oxley Act of 2002</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95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Touche Tohmatsu</w:t>
            </w:r>
          </w:p>
        </w:tc>
        <w:tc>
          <w:tcPr>
            <w:tcW w:w="520" w:type="dxa"/>
            <w:vAlign w:val="bottom"/>
            <w:tcBorders>
              <w:top w:val="single" w:sz="8" w:color="CCEEFF"/>
            </w:tcBorders>
            <w:gridSpan w:val="3"/>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1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&amp; Young</w:t>
            </w:r>
          </w:p>
        </w:tc>
        <w:tc>
          <w:tcPr>
            <w:tcW w:w="818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List of subsidiaries (incorporated by reference to Exhibit 8.1 to Shell Company Report on Form 20-F (File No. 001-41838)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SEC on October 20, 2023)</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Clawback Policy (incorporated by reference to Exhibit 97.1 to Annual Report on Form 20-F (File No. 001-41838)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April 29, 2024)</w:t>
              </w:r>
            </w:hyperlink>
          </w:p>
        </w:tc>
        <w:tc>
          <w:tcPr>
            <w:tcW w:w="8980" w:type="dxa"/>
            <w:vAlign w:val="bottom"/>
            <w:tcBorders>
              <w:bottom w:val="single" w:sz="8" w:color="CCEEFF"/>
            </w:tcBorders>
            <w:gridSpan w:val="10"/>
            <w:shd w:val="clear" w:color="auto" w:fill="CCEEFF"/>
          </w:tcPr>
          <w:p>
            <w:pPr>
              <w:spacing w:after="0"/>
              <w:rPr>
                <w:sz w:val="18"/>
                <w:szCs w:val="18"/>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2"/>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140" w:type="dxa"/>
            <w:vAlign w:val="bottom"/>
          </w:tcPr>
          <w:p>
            <w:pPr>
              <w:spacing w:after="0"/>
              <w:rPr>
                <w:sz w:val="20"/>
                <w:szCs w:val="20"/>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Exhibit 101 Inline XBRL document set</w:t>
            </w:r>
          </w:p>
        </w:tc>
      </w:tr>
    </w:tbl>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20-F/A and that it has duly caused and authorized the undersigned to sign this annual report on its behalf.</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7320" w:type="dxa"/>
            <w:vAlign w:val="bottom"/>
          </w:tcPr>
          <w:p>
            <w:pPr>
              <w:ind w:left="67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7320" w:type="dxa"/>
            <w:vAlign w:val="bottom"/>
          </w:tcPr>
          <w:p>
            <w:pPr>
              <w:ind w:left="67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73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7760" w:type="dxa"/>
            <w:vAlign w:val="bottom"/>
            <w:gridSpan w:val="7"/>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2360" w:type="dxa"/>
            <w:vAlign w:val="bottom"/>
          </w:tcPr>
          <w:p>
            <w:pPr>
              <w:spacing w:after="0"/>
              <w:rPr>
                <w:sz w:val="24"/>
                <w:szCs w:val="24"/>
                <w:color w:val="auto"/>
              </w:rPr>
            </w:pPr>
          </w:p>
        </w:tc>
        <w:tc>
          <w:tcPr>
            <w:tcW w:w="77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color w:val="auto"/>
              </w:rPr>
              <w:t>MONEYHERO LIMITED</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360" w:type="dxa"/>
            <w:vAlign w:val="bottom"/>
          </w:tcPr>
          <w:p>
            <w:pPr>
              <w:spacing w:after="0"/>
              <w:rPr>
                <w:sz w:val="24"/>
                <w:szCs w:val="24"/>
                <w:color w:val="auto"/>
              </w:rPr>
            </w:pPr>
          </w:p>
        </w:tc>
        <w:tc>
          <w:tcPr>
            <w:tcW w:w="77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color w:val="auto"/>
                <w:w w:val="99"/>
              </w:rPr>
              <w:t>CONTENTS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2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 DELOITTE TOUCHE TOHMATSU (PCAOB ID: 1104)</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FORMER INDEPENDENT REGISTERED PUBLIC ACCOUNTING FIRM – ERNST &amp; YOUNG (PCAOB ID: 1409)</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other comprehensive income/(loss) for the years ended December 31, 2025, 2024 and 2023</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at December 31, 2025 and 2024</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F-6</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2025, 2024 and 2023</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F-9</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F-10</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F-11</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F-12</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F-68</w:t>
            </w:r>
          </w:p>
        </w:tc>
      </w:tr>
      <w:tr>
        <w:trPr>
          <w:trHeight w:val="655"/>
        </w:trPr>
        <w:tc>
          <w:tcPr>
            <w:tcW w:w="2360" w:type="dxa"/>
            <w:vAlign w:val="bottom"/>
            <w:tcBorders>
              <w:top w:val="single" w:sz="8" w:color="0000EE"/>
              <w:bottom w:val="single" w:sz="8" w:color="auto"/>
            </w:tcBorders>
          </w:tcPr>
          <w:p>
            <w:pPr>
              <w:spacing w:after="0"/>
              <w:rPr>
                <w:sz w:val="24"/>
                <w:szCs w:val="24"/>
                <w:color w:val="auto"/>
              </w:rPr>
            </w:pPr>
          </w:p>
        </w:tc>
        <w:tc>
          <w:tcPr>
            <w:tcW w:w="7760" w:type="dxa"/>
            <w:vAlign w:val="bottom"/>
            <w:tcBorders>
              <w:top w:val="single" w:sz="8" w:color="CCEEFF"/>
              <w:bottom w:val="single" w:sz="8" w:color="auto"/>
            </w:tcBorders>
            <w:gridSpan w:val="7"/>
          </w:tcPr>
          <w:p>
            <w:pPr>
              <w:jc w:val="center"/>
              <w:ind w:right="1240"/>
              <w:spacing w:after="0"/>
              <w:rPr>
                <w:sz w:val="20"/>
                <w:szCs w:val="20"/>
                <w:color w:val="auto"/>
              </w:rPr>
            </w:pPr>
            <w:r>
              <w:rPr>
                <w:rFonts w:ascii="Times New Roman" w:cs="Times New Roman" w:eastAsia="Times New Roman" w:hAnsi="Times New Roman"/>
                <w:sz w:val="18"/>
                <w:szCs w:val="18"/>
                <w:color w:val="auto"/>
                <w:w w:val="95"/>
              </w:rPr>
              <w:t>F-1</w:t>
            </w:r>
          </w:p>
        </w:tc>
        <w:tc>
          <w:tcPr>
            <w:tcW w:w="5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 w:name="page10"/>
    <w:bookmarkEnd w:id="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MoneyHero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MoneyHero Limited and its subsidiaries (the “Company”) as of December 31, 2025, the related consolidated statements of loss and other comprehensive income/(loss), changes in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IFRS Accounting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3060"/>
        <w:spacing w:after="0"/>
        <w:rPr>
          <w:sz w:val="20"/>
          <w:szCs w:val="20"/>
          <w:color w:val="auto"/>
        </w:rPr>
      </w:pPr>
      <w:r>
        <w:rPr>
          <w:rFonts w:ascii="Times New Roman" w:cs="Times New Roman" w:eastAsia="Times New Roman" w:hAnsi="Times New Roman"/>
          <w:sz w:val="18"/>
          <w:szCs w:val="18"/>
          <w:b w:val="1"/>
          <w:bCs w:val="1"/>
          <w:color w:val="auto"/>
        </w:rPr>
        <w:t>Report of Former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MoneyHero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MoneyHero Limited (the Company) as of December 31, 2024, the related consolidated statements of loss and other comprehensive income/(loss), changes in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2015 to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LOSS AND OTHER COMPREHENSIVE INCOME/(LOSS)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642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73,426,381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80,671,081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(37,283,631)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(46,179,969)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(43,929,982)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(17,329,527)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(21,618,803)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(16,244,958)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(3,013,238)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(7,427,086)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(9,522,437)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(16,190,244)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(24,150,614)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(24,931,493)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(10,425,177)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(15,542,864)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(16,725,243)</w:t>
            </w:r>
          </w:p>
        </w:tc>
        <w:tc>
          <w:tcPr>
            <w:tcW w:w="0" w:type="dxa"/>
            <w:vAlign w:val="bottom"/>
          </w:tcPr>
          <w:p>
            <w:pPr>
              <w:spacing w:after="0"/>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4,818,410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(4,783,117)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656,605</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(5,997,026)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(40,191,707)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(30,026,427)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649,480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877,514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(67,027,178)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(19,028,007)</w:t>
            </w:r>
          </w:p>
        </w:tc>
        <w:tc>
          <w:tcPr>
            <w:tcW w:w="0" w:type="dxa"/>
            <w:vAlign w:val="bottom"/>
          </w:tcPr>
          <w:p>
            <w:pPr>
              <w:spacing w:after="0"/>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(57,333,432)</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(5,178,975)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(37,787,339)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(172,600,513)</w:t>
            </w:r>
          </w:p>
        </w:tc>
        <w:tc>
          <w:tcPr>
            <w:tcW w:w="0" w:type="dxa"/>
            <w:vAlign w:val="bottom"/>
          </w:tcPr>
          <w:p>
            <w:pPr>
              <w:spacing w:after="0"/>
              <w:rPr>
                <w:sz w:val="1"/>
                <w:szCs w:val="1"/>
                <w:color w:val="auto"/>
              </w:rPr>
            </w:pPr>
          </w:p>
        </w:tc>
      </w:tr>
      <w:tr>
        <w:trPr>
          <w:trHeight w:val="21"/>
        </w:trPr>
        <w:tc>
          <w:tcPr>
            <w:tcW w:w="6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may be reclassified to profit or loss in</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(4,943,869)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3,738,760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(820,391)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will not be reclassified to profit or loss in</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 benefit plan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(29,965)</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non-current financial asset</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FOR THE YEAR, NET OF TAX</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(4,925,938)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3,750,491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(850,356)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YEAR, NET OF TAX</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(10,104,913)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(34,036,848)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(173,450,869)</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PER SHARE ATTRIBUTABLE TO ORDINARY EQUITY HOLDERS OF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PARENT</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
        </w:trPr>
        <w:tc>
          <w:tcPr>
            <w:tcW w:w="64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42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2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FINANCIAL POSITION</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2025 AND 2024</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6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625,859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1,017,983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214,513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743,807</w:t>
            </w:r>
          </w:p>
        </w:tc>
        <w:tc>
          <w:tcPr>
            <w:tcW w:w="0" w:type="dxa"/>
            <w:vAlign w:val="bottom"/>
          </w:tcPr>
          <w:p>
            <w:pPr>
              <w:spacing w:after="0"/>
              <w:rPr>
                <w:sz w:val="1"/>
                <w:szCs w:val="1"/>
                <w:color w:val="auto"/>
              </w:rPr>
            </w:pPr>
          </w:p>
        </w:tc>
      </w:tr>
      <w:tr>
        <w:trPr>
          <w:trHeight w:val="24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246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2,333,889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2,600,911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18,745,572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13,537,896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11,825,444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6,254,573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10,148,983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74,311,449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78,282,231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payable</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34,935,231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30,209,247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1,392,997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702,287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441,878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32,069</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32,147,465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37,497,299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46,134,766</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39,831,188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48,735,677</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293,672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29,857</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185,274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39,410,709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48,226,874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F-5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POSITION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2025 AND 2024</w:t>
            </w: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w:t>
            </w:r>
          </w:p>
        </w:tc>
        <w:tc>
          <w:tcPr>
            <w:tcW w:w="3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80" w:type="dxa"/>
            <w:vAlign w:val="bottom"/>
            <w:vMerge w:val="continue"/>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4160" w:type="dxa"/>
            <w:vAlign w:val="bottom"/>
            <w:gridSpan w:val="2"/>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416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39,406,121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48,222,511</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39,410,709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48,226,874</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440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color w:val="auto"/>
              </w:rPr>
              <w:t>F-6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warrant and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revaluation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66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reserve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369,275,100</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12,090,545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37,629,848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5,383,945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(376,208,088)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48,226,874</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(5,178,975)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(5,178,975)</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for the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1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differences on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(4,943,869)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(4,943,869)</w:t>
            </w:r>
          </w:p>
        </w:tc>
      </w:tr>
      <w:tr>
        <w:trPr>
          <w:trHeight w:val="198"/>
        </w:trPr>
        <w:tc>
          <w:tcPr>
            <w:tcW w:w="1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loss on</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asset</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198"/>
        </w:trPr>
        <w:tc>
          <w:tcPr>
            <w:tcW w:w="1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defined</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plan, net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73,931</w:t>
            </w:r>
          </w:p>
        </w:tc>
      </w:tr>
      <w:tr>
        <w:trPr>
          <w:trHeight w:val="216"/>
        </w:trPr>
        <w:tc>
          <w:tcPr>
            <w:tcW w:w="16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73,931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(4,943,869)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(5,178,975)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(10,104,913)</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867,780</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(867,780)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 for</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upon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units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1,885,376</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(1,885,567)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payment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1,288,714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1,288,714</w:t>
            </w:r>
          </w:p>
        </w:tc>
      </w:tr>
      <w:tr>
        <w:trPr>
          <w:trHeight w:val="216"/>
        </w:trPr>
        <w:tc>
          <w:tcPr>
            <w:tcW w:w="1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December 31,</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372,028,256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12,090,545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36,165,215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125,092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440,076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(381,387,063)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39,410,709</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871"/>
        </w:trPr>
        <w:tc>
          <w:tcPr>
            <w:tcW w:w="1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F-7</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warrant and</w:t>
            </w:r>
          </w:p>
        </w:tc>
        <w:tc>
          <w:tcPr>
            <w:tcW w:w="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4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50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20" w:type="dxa"/>
            <w:vAlign w:val="bottom"/>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40" w:type="dxa"/>
            <w:vAlign w:val="bottom"/>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5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December 31, 2023 and at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2024</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368,185,898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12,392,314</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35,238,071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39,430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1,645,185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(338,420,749)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79,084,349</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(37,787,339)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(37,787,339)</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 the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 differences 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 foreign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3,738,760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3,738,760</w:t>
            </w:r>
          </w:p>
        </w:tc>
      </w:tr>
      <w:tr>
        <w:trPr>
          <w:trHeight w:val="198"/>
        </w:trPr>
        <w:tc>
          <w:tcPr>
            <w:tcW w:w="2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losses 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plan, net of</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loss for the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3,738,760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(37,787,339)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(34,036,848)</w:t>
            </w: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787,437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(787,437)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 for settlement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long-term employee benefit</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301,765</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(301,769)</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share-based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5"/>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arrangements</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3,179,214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3,179,214</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6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369,275,100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12,090,545</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37,629,848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5,383,945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(376,208,088)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48,226,874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655"/>
        </w:trPr>
        <w:tc>
          <w:tcPr>
            <w:tcW w:w="2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F-8</w:t>
            </w: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Capital,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warrant and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38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40" w:type="dxa"/>
            <w:vAlign w:val="bottom"/>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3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148,113,631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30,967,747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69,395</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2,465,576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(165,820,236)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15,821,880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(172,600,513)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(172,600,513)</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 differences 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 foreign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(820,391)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(820,391)</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losses 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plan, net of</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(29,965)</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w:t>
            </w:r>
          </w:p>
        </w:tc>
      </w:tr>
      <w:tr>
        <w:trPr>
          <w:trHeight w:val="216"/>
        </w:trPr>
        <w:tc>
          <w:tcPr>
            <w:tcW w:w="2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loss for</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(29,965)</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(820,391)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(172,600,513)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(173,450,869)</w:t>
            </w: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Scrip dividend for Preference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payment arrangement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2,358,717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(2,358,720)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 of</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warrants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20, 23</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51,347,266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51,349,984</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1, 23</w:t>
            </w:r>
          </w:p>
        </w:tc>
        <w:tc>
          <w:tcPr>
            <w:tcW w:w="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and cancellation of</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Old Class A Ordinary Shares</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Capital Reorganization -</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to acquire net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of Bridgetown (as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in Note 1)</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153,544,381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153,546,878</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warrant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12,049,646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12,049,646</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the settlement</w:t>
            </w:r>
          </w:p>
        </w:tc>
        <w:tc>
          <w:tcPr>
            <w:tcW w:w="6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23(d),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the exercise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call option for loan notes</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23(c)</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12,332,834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12,333,035</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liabilities for</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318,921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318,921</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share-based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arrangements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6,629,044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2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6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368,185,898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12,392,314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35,238,071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39,430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1,645,185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(338,420,749)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79,084,349</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F-9</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238"/>
        </w:trPr>
        <w:tc>
          <w:tcPr>
            <w:tcW w:w="5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4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19,028,007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(581,768)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(1,478,436)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(872,503)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218,471</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743,956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3,021,933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6,202,250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 /impairment of intangible assets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1,193,246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4,541,074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3,105,507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1,288,714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equity-settled transactions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67,027,178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 net</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57,333,432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109,702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benefit expenses recognised in defined benefit obligations</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difference, net</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(4,800,870)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4,196,831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(895,392)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expected credit loss, net of reversal</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5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(6,832,117)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(24,033,913)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(13,352,697)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accounts receivable</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(4,854,581)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3,185,104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(7,396,057)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prepayments and other assets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3,681,682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(5,569,341)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(1,196,743)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contract assets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(6,093,362)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4,017,017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(4,759,157)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accounts and other payable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3,898,635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(2,340,190)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9,721,951</w:t>
            </w: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reinstatement of terminated lease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(33,977)</w:t>
            </w:r>
          </w:p>
        </w:tc>
      </w:tr>
      <w:tr>
        <w:trPr>
          <w:trHeight w:val="216"/>
        </w:trPr>
        <w:tc>
          <w:tcPr>
            <w:tcW w:w="5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(10,199,743)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(24,741,323)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(17,016,680)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(48,363)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(paid)/refunded</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22,338</w:t>
            </w:r>
          </w:p>
        </w:tc>
      </w:tr>
      <w:tr>
        <w:trPr>
          <w:trHeight w:val="23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 paid under defined benefit obligation</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(10,248,680)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(24,888,188)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(17,042,705)</w:t>
            </w:r>
          </w:p>
        </w:tc>
      </w:tr>
      <w:tr>
        <w:trPr>
          <w:trHeight w:val="642"/>
        </w:trPr>
        <w:tc>
          <w:tcPr>
            <w:tcW w:w="52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F-10</w:t>
            </w: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574,844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1,467,357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859,454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items of property and equipment</w:t>
            </w:r>
          </w:p>
        </w:tc>
        <w:tc>
          <w:tcPr>
            <w:tcW w:w="18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(117,337)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items of property and equipment</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of rental deposits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(663,955)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(1,397,149)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(2,097,621)</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of pledged bank deposits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(258,316)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(1,342,262)</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 notes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Capital Reorganization, net</w:t>
            </w:r>
          </w:p>
        </w:tc>
        <w:tc>
          <w:tcPr>
            <w:tcW w:w="18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91,513,464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loan notes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(32,720,827)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Principal portion of lease payments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(724,633)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(721,892)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(730,908)</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the exercise of share options</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in)/from financing activities</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(724,599)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(721,733)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63,061,729</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(DECREASE)/INCREASEIN CASH AND CASH EQUIVALENTS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(11,231,595)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(25,866,744)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44,676,762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42,521,520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68,641,016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24,077,695</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(252,752)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(113,441)</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8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42,521,520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68,641,016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F-11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GROUP INFORMATION</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Limited (the “Company”) is a limited liability company incorporated in the Cayman Islands on March 21, 2023 to facilitate the public listing (“Capital Reorganization”) of CompareAsia Group Capital Limited (“CGCL”). The registered office of the Company is located at 190 Elgin Avenue, George Town, Grand Cayman KY1-9008, Cayman Islands. The principal place of business of the Company is located at 70 Shenton Way, #18-15, EON Shenton, S079118, Singapore.</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(collectively, the “Group”) is primarily involved in the operation of online comparison platforms for banking, insurance and other financial products, the provision of advertising and marketing services and insurance brokerage services.</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Capital Reorganization</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Reorganization (see note 25) was effectuated by: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special purpose acquisition company (“SPAC”) Bridgetown Holdings Limited (“Bridgetown”), incorporated in the Cayman Islands and listed on the Nasdaq Stock Market (“NASDAQ”), merging on October 12, 2023 (“Closing Date”) with Gemini Merger Sub 1 Limited, incorporated in the Cayman Islands and a directly wholly-owned subsidiary of the Company; with Gemini Merger Sub 1 Limited surviving and remaining as a wholly-owned subsidiary of the Company (“Initial Merger”);</w:t>
      </w:r>
    </w:p>
    <w:p>
      <w:pPr>
        <w:spacing w:after="0" w:line="179"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Gemini Merger Sub 2 Limited, incorporated in the Cayman Islands and a directly wholly-owned subsidiary of the Company, merging with CGCL on October 12, 2023; with CGCL surviving and becoming a wholly-owned subsidiary of the Company; and</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becoming a publicly traded company on NASDAQ on October 13, 2023.</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connection with this Capital Reorganization, the Company acquired the ordinary shares, preference shares and warrants of CGCL on the Closing Date by way of exchanging 10,254,474 Class A ordinary shares and 4,450,419 Preference Shares of the Company for the 33,379,256 ordinary shares and 14,486,506 preference shares of CGCL outstanding as of the Closing Date at an exchange ratio of 0.307212 (“Share Exchange”); and exchanging 20,067,574 private warrants of the Company for 20,067,574 warrants of CGCL (“CGCL Warrants”). The Company acquired the ordinary shares and warrants of Bridgetown on the Closing Date by way of exchanging an aggregate of 24,515,133 Class A and Class B ordinary shares, 19,833,035 public warrants and 6,449,936 sponsor warrants of the Company for the 24,515,133 ordinary shares and 26,282,971 warrants of Bridgetown (“Bridgetown Warrants”), as well as the issuance of 451,839 Class A ordinary shares of the Company to settle certain working capital loans of Bridgetown, as of the Closing Date. On October 13, 2023, the Company’s ordinary shares and public warrants commenced trading on NASDAQ using the symbol “MNY” and “MNYWW”, respectively.</w:t>
      </w:r>
    </w:p>
    <w:p>
      <w:pPr>
        <w:spacing w:after="0" w:line="18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Capital Reorganization is not within the scope of IFRS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as Bridgetown does not meet the definition of a business in accordance with IFRS 3. The Capital Reorganization is treated as the equivalent of the Company issuing shares at the closing of the Capital Reorganization for the net assets of Bridgetown as of the Closing Date. The net assets of Bridgetown are recorded at cost, with no goodwill or other intangible assets recorded. Any excess of the fair value of the Company’s shares issued considering a fair value of Bridgetown’s shares of US$6.15 per share (market price of Bridgetown’s ordinary shares at the Closing Date) over the fair value of Bridgetown’s identifiable net assets acquired represents compensation for the service of a stock exchange listing for its shares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amounts to approximately US$67,027,000 which is expensed to profit or loss as a share listing expense and considered non-recurring in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6280" w:hanging="652"/>
        <w:spacing w:after="0" w:line="50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AND GROUP INFORMATION (continued) </w:t>
      </w:r>
      <w:r>
        <w:rPr>
          <w:rFonts w:ascii="Times New Roman" w:cs="Times New Roman" w:eastAsia="Times New Roman" w:hAnsi="Times New Roman"/>
          <w:sz w:val="18"/>
          <w:szCs w:val="18"/>
          <w:u w:val="single" w:color="auto"/>
          <w:color w:val="auto"/>
        </w:rPr>
        <w:t>Information about subsidiaries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Particulars of the Company’s principal subsidiaries as at the date of this financial statements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4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of equity</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9"/>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2240" w:type="dxa"/>
            <w:vAlign w:val="bottom"/>
          </w:tcPr>
          <w:p>
            <w:pPr>
              <w:spacing w:after="0"/>
              <w:rPr>
                <w:sz w:val="19"/>
                <w:szCs w:val="19"/>
                <w:color w:val="auto"/>
              </w:rPr>
            </w:pPr>
          </w:p>
        </w:tc>
      </w:t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the Company</w:t>
            </w: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3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 business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capital</w:t>
            </w:r>
          </w:p>
        </w:tc>
        <w:tc>
          <w:tcPr>
            <w:tcW w:w="15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8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Indirect</w:t>
            </w:r>
          </w:p>
        </w:tc>
        <w:tc>
          <w:tcPr>
            <w:tcW w:w="220" w:type="dxa"/>
            <w:vAlign w:val="bottom"/>
          </w:tcPr>
          <w:p>
            <w:pPr>
              <w:spacing w:after="0"/>
              <w:rPr>
                <w:sz w:val="20"/>
                <w:szCs w:val="20"/>
                <w:color w:val="auto"/>
              </w:rPr>
            </w:pPr>
          </w:p>
        </w:tc>
        <w:tc>
          <w:tcPr>
            <w:tcW w:w="2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CompareAsia Group Capital Limited</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US$0.01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CompareAsia Group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Investment holding and</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management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CAG Regional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Provision of management</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and administrative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CAG Regional Singapore Pte. Ltd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SGD2,059,066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information</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technology support and</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management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Compargo Malaysia Sdn. Bhd.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MYR500,000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administrative</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services to 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Inc.</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Philippines</w:t>
            </w:r>
          </w:p>
        </w:tc>
        <w:tc>
          <w:tcPr>
            <w:tcW w:w="14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PHP10,000,000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Pte. Ltd.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SGD1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MoneyGuru Philippines Corporation</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Philippines</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PHP9,200,000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comparison services via</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online platform</w:t>
            </w:r>
          </w:p>
        </w:tc>
      </w:tr>
      <w:tr>
        <w:trPr>
          <w:trHeight w:val="655"/>
        </w:trPr>
        <w:tc>
          <w:tcPr>
            <w:tcW w:w="3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F-13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6280" w:hanging="652"/>
        <w:spacing w:after="0" w:line="51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AND GROUP INFORMATION (continued) </w:t>
      </w:r>
      <w:r>
        <w:rPr>
          <w:rFonts w:ascii="Times New Roman" w:cs="Times New Roman" w:eastAsia="Times New Roman" w:hAnsi="Times New Roman"/>
          <w:sz w:val="18"/>
          <w:szCs w:val="18"/>
          <w:u w:val="single" w:color="auto"/>
          <w:color w:val="auto"/>
        </w:rPr>
        <w:t>Information about subsidiaries</w:t>
      </w:r>
      <w:r>
        <w:rPr>
          <w:rFonts w:ascii="Times New Roman" w:cs="Times New Roman" w:eastAsia="Times New Roman" w:hAnsi="Times New Roman"/>
          <w:sz w:val="18"/>
          <w:szCs w:val="18"/>
          <w:color w:val="auto"/>
        </w:rPr>
        <w:t xml:space="preserve"> (continued)</w:t>
      </w:r>
    </w:p>
    <w:tbl>
      <w:tblPr>
        <w:tblLayout w:type="fixed"/>
        <w:tblInd w:w="0" w:type="dxa"/>
        <w:tblCellMar>
          <w:top w:w="0" w:type="dxa"/>
          <w:left w:w="0" w:type="dxa"/>
          <w:bottom w:w="0" w:type="dxa"/>
          <w:right w:w="0" w:type="dxa"/>
        </w:tblCellMar>
      </w:tblPr>
      <w:tr>
        <w:trPr>
          <w:trHeight w:val="199"/>
        </w:trPr>
        <w:tc>
          <w:tcPr>
            <w:tcW w:w="320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MoneyHero Insurance Brokerage, Inc.</w:t>
            </w:r>
          </w:p>
        </w:tc>
        <w:tc>
          <w:tcPr>
            <w:tcW w:w="14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rPr>
              <w:t>Philippines</w:t>
            </w:r>
          </w:p>
        </w:tc>
        <w:tc>
          <w:tcPr>
            <w:tcW w:w="2160" w:type="dxa"/>
            <w:vAlign w:val="bottom"/>
            <w:shd w:val="clear" w:color="auto" w:fill="CCEEFF"/>
          </w:tcPr>
          <w:p>
            <w:pPr>
              <w:jc w:val="center"/>
              <w:ind w:right="250"/>
              <w:spacing w:after="0" w:line="199" w:lineRule="exact"/>
              <w:rPr>
                <w:sz w:val="20"/>
                <w:szCs w:val="20"/>
                <w:color w:val="auto"/>
              </w:rPr>
            </w:pPr>
            <w:r>
              <w:rPr>
                <w:rFonts w:ascii="Times New Roman" w:cs="Times New Roman" w:eastAsia="Times New Roman" w:hAnsi="Times New Roman"/>
                <w:sz w:val="18"/>
                <w:szCs w:val="18"/>
                <w:color w:val="auto"/>
                <w:w w:val="99"/>
              </w:rPr>
              <w:t>PHP100,000,000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8"/>
              </w:rPr>
              <w:t>PHP40,000,000)</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MoneyHero Insurance Brokers Limited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HK$17,980,000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HK$17,400,000)</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MoneyHero Global Limited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HK$4,085,155</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Singsaver Insurance Brokers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SGD1,860,001</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SGD1,060,001)</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Singsaver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SGD100,000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Seedly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SGD2,950,181</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 online platform</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specializing in personal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finance community and</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product comparison</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7" w:lineRule="exact"/>
              <w:rPr>
                <w:sz w:val="20"/>
                <w:szCs w:val="20"/>
                <w:color w:val="auto"/>
              </w:rPr>
            </w:pPr>
            <w:r>
              <w:rPr>
                <w:rFonts w:ascii="PMingLiU" w:cs="PMingLiU" w:eastAsia="PMingLiU" w:hAnsi="PMingLiU"/>
                <w:sz w:val="18"/>
                <w:szCs w:val="18"/>
                <w:color w:val="auto"/>
              </w:rPr>
              <w:t>理財一零一有限公司</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Taiwan</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TWD5,000,000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(Money101 Limited*)</w:t>
            </w: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655"/>
        </w:trPr>
        <w:tc>
          <w:tcPr>
            <w:tcW w:w="3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F-14</w:t>
            </w: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BASIS OF PREPARATION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IFRS Accounting Standards (“IFRSs”) as issued by the International Accounting Standards Board (“IASB”). They have been prepared under the historical cost convention except for the warrants and non-current financial asset that are stated at their fair value as explained in the accounting policies set out in note 2.4. The financial statements are presented in United States dollars (“US$”).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prepared the financial statements on the basis that it will continue to operate as a going concern.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consolidation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 with the other vote holders of the investee;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voting rights and potential voting rights.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income/(loss)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Group loses control over a subsidiary, it derecognizes the related assets (including goodwill), liabilities, any non-controlling interest and exchange fluctuation reserves; and recognizes the fair value of any investment retained and any resulting surplus or deficit in profit or loss. The Group’s share of components previously recognized in other comprehensive income/(loss) is reclassified to profit or loss or accumulated losses, as appropriate, on the same basis as would be required if the Group had directly disposed of the related assets or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CHANGES IN ACCOUNTING POLICIES AND DISCLOSURES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adopted the following amendments to an IFRS Accounting Standard for the first time for the current year’s financial statements.</w:t>
      </w:r>
    </w:p>
    <w:p>
      <w:pPr>
        <w:spacing w:after="0" w:line="223" w:lineRule="exact"/>
        <w:rPr>
          <w:sz w:val="20"/>
          <w:szCs w:val="20"/>
          <w:color w:val="auto"/>
        </w:rPr>
      </w:pPr>
    </w:p>
    <w:p>
      <w:pPr>
        <w:ind w:left="660"/>
        <w:spacing w:after="0"/>
        <w:tabs>
          <w:tab w:leader="none" w:pos="5220" w:val="left"/>
        </w:tabs>
        <w:rPr>
          <w:sz w:val="20"/>
          <w:szCs w:val="20"/>
          <w:color w:val="auto"/>
        </w:rPr>
      </w:pPr>
      <w:r>
        <w:rPr>
          <w:rFonts w:ascii="Times New Roman" w:cs="Times New Roman" w:eastAsia="Times New Roman" w:hAnsi="Times New Roman"/>
          <w:sz w:val="18"/>
          <w:szCs w:val="18"/>
          <w:color w:val="auto"/>
        </w:rPr>
        <w:t>Amendments to IAS 21</w:t>
      </w:r>
      <w:r>
        <w:rPr>
          <w:sz w:val="20"/>
          <w:szCs w:val="20"/>
          <w:color w:val="auto"/>
        </w:rPr>
        <w:tab/>
      </w:r>
      <w:r>
        <w:rPr>
          <w:rFonts w:ascii="Times New Roman" w:cs="Times New Roman" w:eastAsia="Times New Roman" w:hAnsi="Times New Roman"/>
          <w:sz w:val="18"/>
          <w:szCs w:val="18"/>
          <w:i w:val="1"/>
          <w:iCs w:val="1"/>
          <w:color w:val="auto"/>
        </w:rPr>
        <w:t>Lack of Exchangeability</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application of the amendment to IFRS Accounting Standard in the current reporting period has had no material impact on the Group’s financial positions and performance for the current and prior periods and/or on the disclosures set out in these consolidated financial statements.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ISSUED BUT NOT YET EFFECTIVE IFRS ACCOUNTING STANDARDS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has not applied the following new and amendments to IFRS Accounting Standards that have been issued but are not yet effective, in these financial statements. The Group intends to apply these new and amendments to IFRS Accounting Standards, if applicable, when they become effective.</w:t>
      </w:r>
    </w:p>
    <w:p>
      <w:pPr>
        <w:spacing w:after="0" w:line="99" w:lineRule="exact"/>
        <w:rPr>
          <w:sz w:val="20"/>
          <w:szCs w:val="20"/>
          <w:color w:val="auto"/>
        </w:rPr>
      </w:pPr>
    </w:p>
    <w:tbl>
      <w:tblPr>
        <w:tblLayout w:type="fixed"/>
        <w:tblInd w:w="660" w:type="dxa"/>
        <w:tblCellMar>
          <w:top w:w="0" w:type="dxa"/>
          <w:left w:w="0" w:type="dxa"/>
          <w:bottom w:w="0" w:type="dxa"/>
          <w:right w:w="0" w:type="dxa"/>
        </w:tblCellMar>
      </w:tblPr>
      <w:tr>
        <w:trPr>
          <w:trHeight w:val="3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678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Amendments to the Classification and Measurement of Financial Instruments</w:t>
            </w:r>
            <w:r>
              <w:rPr>
                <w:rFonts w:ascii="Times New Roman" w:cs="Times New Roman" w:eastAsia="Times New Roman" w:hAnsi="Times New Roman"/>
                <w:sz w:val="29"/>
                <w:szCs w:val="29"/>
                <w:i w:val="1"/>
                <w:iCs w:val="1"/>
                <w:color w:val="auto"/>
                <w:vertAlign w:val="superscript"/>
              </w:rPr>
              <w:t>2</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Contracts Referencing Nature-dependent Electricity</w:t>
            </w:r>
            <w:r>
              <w:rPr>
                <w:rFonts w:ascii="Times New Roman" w:cs="Times New Roman" w:eastAsia="Times New Roman" w:hAnsi="Times New Roman"/>
                <w:sz w:val="29"/>
                <w:szCs w:val="29"/>
                <w:i w:val="1"/>
                <w:iCs w:val="1"/>
                <w:color w:val="auto"/>
                <w:vertAlign w:val="superscript"/>
              </w:rPr>
              <w:t>2</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10 and IAS 28</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w w:val="98"/>
              </w:rPr>
              <w:t>Sale or Contribution of Assets between an Investor and its Associate or Joint Venture</w:t>
            </w:r>
            <w:r>
              <w:rPr>
                <w:rFonts w:ascii="Times New Roman" w:cs="Times New Roman" w:eastAsia="Times New Roman" w:hAnsi="Times New Roman"/>
                <w:sz w:val="29"/>
                <w:szCs w:val="29"/>
                <w:i w:val="1"/>
                <w:iCs w:val="1"/>
                <w:color w:val="auto"/>
                <w:w w:val="98"/>
                <w:vertAlign w:val="superscript"/>
              </w:rPr>
              <w:t>1</w:t>
            </w:r>
          </w:p>
        </w:tc>
      </w:tr>
      <w:tr>
        <w:trPr>
          <w:trHeight w:val="25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Accounting Standards</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Annual Improvements to IFRS Accounting Standards – Volume 11</w:t>
            </w:r>
            <w:r>
              <w:rPr>
                <w:rFonts w:ascii="Times New Roman" w:cs="Times New Roman" w:eastAsia="Times New Roman" w:hAnsi="Times New Roman"/>
                <w:sz w:val="29"/>
                <w:szCs w:val="29"/>
                <w:i w:val="1"/>
                <w:iCs w:val="1"/>
                <w:color w:val="auto"/>
                <w:vertAlign w:val="superscript"/>
              </w:rPr>
              <w:t>2</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IFRS 18</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29"/>
                <w:szCs w:val="29"/>
                <w:i w:val="1"/>
                <w:iCs w:val="1"/>
                <w:color w:val="auto"/>
                <w:vertAlign w:val="superscript"/>
              </w:rPr>
              <w:t>3</w:t>
            </w:r>
          </w:p>
        </w:tc>
      </w:tr>
      <w:tr>
        <w:trPr>
          <w:trHeight w:val="39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21</w:t>
            </w:r>
          </w:p>
        </w:tc>
        <w:tc>
          <w:tcPr>
            <w:tcW w:w="678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Translation to a Hyperinflationary Presentation Currency</w:t>
            </w:r>
            <w:r>
              <w:rPr>
                <w:rFonts w:ascii="Times New Roman" w:cs="Times New Roman" w:eastAsia="Times New Roman" w:hAnsi="Times New Roman"/>
                <w:sz w:val="29"/>
                <w:szCs w:val="29"/>
                <w:i w:val="1"/>
                <w:iCs w:val="1"/>
                <w:color w:val="auto"/>
                <w:vertAlign w:val="superscript"/>
              </w:rPr>
              <w:t>3</w:t>
            </w:r>
          </w:p>
        </w:tc>
      </w:tr>
    </w:tbl>
    <w:p>
      <w:pPr>
        <w:ind w:left="980" w:hanging="324"/>
        <w:spacing w:after="0" w:line="215" w:lineRule="auto"/>
        <w:tabs>
          <w:tab w:leader="none" w:pos="98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for the annual periods beginning on or after a date to be determined</w:t>
      </w:r>
    </w:p>
    <w:p>
      <w:pPr>
        <w:ind w:left="980" w:hanging="324"/>
        <w:spacing w:after="0" w:line="180" w:lineRule="auto"/>
        <w:tabs>
          <w:tab w:leader="none" w:pos="9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Effective for annual periods beginning on or after January 1, 2026</w:t>
      </w:r>
    </w:p>
    <w:p>
      <w:pPr>
        <w:ind w:left="980" w:hanging="324"/>
        <w:spacing w:after="0" w:line="180" w:lineRule="auto"/>
        <w:tabs>
          <w:tab w:leader="none" w:pos="9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Effective for annual periods beginning on or after January 1, 2027</w:t>
      </w:r>
    </w:p>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for the new IFRS Accounting Standard mentioned below, the directors of the Company anticipate that the application of all amendments to IFRS Accounting Standards will have no material impact on the consolidated financial statements in the foreseeable future.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IFRS 18 Presentation and Disclosure in Financial Statements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IFRS 18 replaces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While a number of sections have been brought forward from IAS 1 with limited changes, IFRS 18 introduces new requirements for presentation within the statement of profit or loss, including specified totals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 Some requirements previously included in IAS 1 are moved to IAS 8 </w:t>
      </w:r>
      <w:r>
        <w:rPr>
          <w:rFonts w:ascii="Times New Roman" w:cs="Times New Roman" w:eastAsia="Times New Roman" w:hAnsi="Times New Roman"/>
          <w:sz w:val="18"/>
          <w:szCs w:val="18"/>
          <w:i w:val="1"/>
          <w:iCs w:val="1"/>
          <w:color w:val="auto"/>
        </w:rPr>
        <w:t>Accounting Policies, Changes in Accounting Estimates and Errors</w:t>
      </w:r>
      <w:r>
        <w:rPr>
          <w:rFonts w:ascii="Times New Roman" w:cs="Times New Roman" w:eastAsia="Times New Roman" w:hAnsi="Times New Roman"/>
          <w:sz w:val="18"/>
          <w:szCs w:val="18"/>
          <w:color w:val="auto"/>
        </w:rPr>
        <w:t xml:space="preserve">, which is renamed as IAS 8 </w:t>
      </w:r>
      <w:r>
        <w:rPr>
          <w:rFonts w:ascii="Times New Roman" w:cs="Times New Roman" w:eastAsia="Times New Roman" w:hAnsi="Times New Roman"/>
          <w:sz w:val="18"/>
          <w:szCs w:val="18"/>
          <w:i w:val="1"/>
          <w:iCs w:val="1"/>
          <w:color w:val="auto"/>
        </w:rPr>
        <w:t>Basis of Preparation of Financial Statements</w:t>
      </w:r>
      <w:r>
        <w:rPr>
          <w:rFonts w:ascii="Times New Roman" w:cs="Times New Roman" w:eastAsia="Times New Roman" w:hAnsi="Times New Roman"/>
          <w:sz w:val="18"/>
          <w:szCs w:val="18"/>
          <w:color w:val="auto"/>
        </w:rPr>
        <w:t xml:space="preserve"> upon effective of IFRS 18. As a consequence of the issuance of IFRS 18, limited, but widely applicable, amendments are made to IAS 7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Flows</w:t>
      </w:r>
      <w:r>
        <w:rPr>
          <w:rFonts w:ascii="Times New Roman" w:cs="Times New Roman" w:eastAsia="Times New Roman" w:hAnsi="Times New Roman"/>
          <w:sz w:val="18"/>
          <w:szCs w:val="18"/>
          <w:color w:val="auto"/>
        </w:rPr>
        <w:t>, IAS 33</w:t>
      </w:r>
      <w:r>
        <w:rPr>
          <w:rFonts w:ascii="Times New Roman" w:cs="Times New Roman" w:eastAsia="Times New Roman" w:hAnsi="Times New Roman"/>
          <w:sz w:val="18"/>
          <w:szCs w:val="18"/>
          <w:i w:val="1"/>
          <w:iCs w:val="1"/>
          <w:color w:val="auto"/>
        </w:rPr>
        <w:t xml:space="preserve"> Earnings per Share </w:t>
      </w:r>
      <w:r>
        <w:rPr>
          <w:rFonts w:ascii="Times New Roman" w:cs="Times New Roman" w:eastAsia="Times New Roman" w:hAnsi="Times New Roman"/>
          <w:sz w:val="18"/>
          <w:szCs w:val="18"/>
          <w:color w:val="auto"/>
        </w:rPr>
        <w:t>and IAS 34</w:t>
      </w:r>
      <w:r>
        <w:rPr>
          <w:rFonts w:ascii="Times New Roman" w:cs="Times New Roman" w:eastAsia="Times New Roman" w:hAnsi="Times New Roman"/>
          <w:sz w:val="18"/>
          <w:szCs w:val="18"/>
          <w:i w:val="1"/>
          <w:iCs w:val="1"/>
          <w:color w:val="auto"/>
        </w:rPr>
        <w:t xml:space="preserve"> Interim Financial Reporting</w:t>
      </w:r>
      <w:r>
        <w:rPr>
          <w:rFonts w:ascii="Times New Roman" w:cs="Times New Roman" w:eastAsia="Times New Roman" w:hAnsi="Times New Roman"/>
          <w:sz w:val="18"/>
          <w:szCs w:val="18"/>
          <w:color w:val="auto"/>
        </w:rPr>
        <w:t>. In addition, there are minor consequential 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IFRSs. IFRS 18 and the consequential amendments to other IFRSs are effective for annual periods beginning on or after January 1, 2027 with earlier application permitted. Retrospective application is required. The Group is currently analyzing the new requirements and assessing the impact of IFRS 18 on the presentation and disclosure of the Group’s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 measurement</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Group measures equity investment as equity investments designated at fair value through other comprehensive income and warrant liabilities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based on quoted prices (unadjusted) in active markets for identical assets or liabilities</w:t>
      </w:r>
    </w:p>
    <w:p>
      <w:pPr>
        <w:spacing w:after="0" w:line="225" w:lineRule="exact"/>
        <w:rPr>
          <w:sz w:val="20"/>
          <w:szCs w:val="20"/>
          <w:color w:val="auto"/>
        </w:rPr>
      </w:pPr>
    </w:p>
    <w:p>
      <w:pPr>
        <w:jc w:val="both"/>
        <w:ind w:left="1420" w:hanging="768"/>
        <w:spacing w:after="0" w:line="282" w:lineRule="auto"/>
        <w:rPr>
          <w:sz w:val="20"/>
          <w:szCs w:val="20"/>
          <w:color w:val="auto"/>
        </w:rPr>
      </w:pPr>
      <w:r>
        <w:rPr>
          <w:rFonts w:ascii="Times New Roman" w:cs="Times New Roman" w:eastAsia="Times New Roman" w:hAnsi="Times New Roman"/>
          <w:sz w:val="18"/>
          <w:szCs w:val="18"/>
          <w:color w:val="auto"/>
        </w:rPr>
        <w:t>Level 2 – based on valuation techniques for which the lowest level input that is significant to the fair value measurement is observable, either directly or indirectly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based on valuation techniques for which the lowest level input that is significant to the fair value measurement is unobservable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non-financial assets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Where an indication of impairment exists, or when annual impairment testing for an asset is required (other than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only if the carrying amount of an asset (or a cash-generating unit) exceeds its recoverable amount. In assessing value in use, the estimated future cash flows are discounted to their present value using a pre-tax discount rate that reflects current market assessments of the time value of money and the risks specific to the asset (or a cash-generating unit). An impairment loss is charged to profit or loss in the period in which it arises in those expense categories consistent with the function of the impaired asset (or a cash-generating unit).</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(or a cash-generating unit) is reversed only if there has been a change in the estimates used to determine the recoverable amount of that asset (or a cash-generating unit), but not to an amount higher than the carrying amount that would have been determined (net of any depreciation/amortization) had no impairment loss been recognized for the asset (or a cash-generating unit) in prior years. A reversal of such an impairment loss is credited to profit or loss in the period in which it arises.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party is considered to be related to the Group if:</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of a parent of the Group;</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joint ventures of the same third party;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225" w:lineRule="exact"/>
        <w:rPr>
          <w:rFonts w:ascii="Times New Roman" w:cs="Times New Roman" w:eastAsia="Times New Roman" w:hAnsi="Times New Roman"/>
          <w:sz w:val="18"/>
          <w:szCs w:val="18"/>
          <w:color w:val="auto"/>
        </w:rPr>
      </w:pPr>
    </w:p>
    <w:p>
      <w:pPr>
        <w:ind w:left="1500" w:right="20" w:hanging="520"/>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and</w:t>
      </w:r>
    </w:p>
    <w:p>
      <w:pPr>
        <w:spacing w:after="0" w:line="161" w:lineRule="exact"/>
        <w:rPr>
          <w:rFonts w:ascii="Times New Roman" w:cs="Times New Roman" w:eastAsia="Times New Roman" w:hAnsi="Times New Roman"/>
          <w:sz w:val="18"/>
          <w:szCs w:val="18"/>
          <w:color w:val="auto"/>
        </w:rPr>
      </w:pPr>
    </w:p>
    <w:p>
      <w:pPr>
        <w:ind w:left="1500" w:hanging="520"/>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parent of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any impairment losses. The cost of an item of property and equipment comprises its purchase price and any directly attributable costs of bringing the asset to its working condition and location for its intended use.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Expenditure incurred after items of property and equipment have been put into operation, such as repairs and maintenance, is normally charged to profit or loss in the period in which it is incurred. In situations where the recognition criteria are satisfied, the expenditure for a major inspection is capitalized in the carrying amount of the asset as a replacement. Where significant parts of property and equipment are required to be replaced at intervals, the Group recognizes such parts as individual assets with specific useful lives and depreciates them accordingly.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Depreciation is calculated on the straight-line basis to write off the cost of each item of property and equipment to its residual value over its estimated useful life. The estimated useful lives used for this purpose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Over the shorter of the lease terms and 2 to 3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7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 to 3 years</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parts of an item of property and equipment have different useful lives, the cost of that item is allocated on a reasonable basis among the parts and each part is depreciated separately. Residual values, useful lives and the depreciation method are reviewed, and adjusted if appropriate, at least at each financial year end.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including any significant part initially recognized is derecognized upon disposal or when no future economic benefits are expected from its use or disposal. Any gain or loss on disposal or retirement recognized in profit or loss in the year the asset is derecognized is the difference between the net sales proceeds and the carrying amount of the relevant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useful lives of intangible assets are assessed to be either finite or indefinite.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loss and other comprehensive income/(loss).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undertakes research and development activities and incurs corresponding expenditures with a view to improving its existing platforms. Expenditures on research activities, undertaken with the prospect of gaining new technical knowledge and understanding, is recognized in profit or loss as incurred.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Expenditures on development activities, whereby research findings are applied to a plan or a design for substantially enhanced platform, are capitalized if the enhanced platform are technically and commercially feasible, the Group intends to complete and has sufficient resources to complete development, future economic benefits are probable and the Group can reliably measure the expenditures attributable to the intangible asset during its development.</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expenditures capitalized includes contractor costs and direct labor costs. Capitalized development expenditures are stated at cost less any impairment losses and are amortized using the straight-line basis over three or five years, commencing from the date when the intangible asset is available for use. Other development costs that do not meet these criteria, as well as ongoing maintenance and costs associated with routine upgrades and enhancements are recognized as an expense as incurred. Subsequent expenditures on capitalized intangible assets are capitalized only when it increases the economic benefits embodied in the specific asset to which it relates. All other expenditures are expensed when incurred.</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Subsequent to initial recognition, intangible assets are reported at cost less accumulated amortization and accumulated impairment losses (if any), on the same basis as intangible assets that are acquired separately.</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When intangible assets under development are no longer useable or development is abandoned, they are written off to their recoverable amount of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Group as a lessee</w:t>
      </w:r>
    </w:p>
    <w:p>
      <w:pPr>
        <w:spacing w:after="0" w:line="22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lease terms.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w:t>
      </w:r>
    </w:p>
    <w:p>
      <w:pPr>
        <w:spacing w:after="0" w:line="17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applies the short-term lease recognition exemption to its short-term leases (that is those leases that have a lease term of 12 months or less from the commencement date and do not contain a purchase option). Lease payments on short-term leases are recognized as an expense on a straight-line basis over the lease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Investments and other financial assets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are classified, at initial recognition, as subsequently measured at amortized cost or fair value through other comprehensive income.</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classification of financial assets at initial recognition depends on the financial asset’s contractual cash flow characteristics and the Group’s business model for managing them. With the exception of accounts receivable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Accounts receivable that does not contain a significant financing component or for which the Group has applied the practical expedient are measured at the transaction price determined under IFRS 15 in accordance with the policies set out for “Revenue recognition” below.</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order for a financial asset to be classified and measured at amortized cost or fair value through other comprehensive income, it needs to give rise to cash flows that are solely payments of principal and interest on the principal amount outstanding.</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 while financial assets classified and measured at fair value through other comprehensive income are held within a business model with the objective of both holding to collect contractual cash flows and selling.</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Purchases or sales of financial assets that require delivery of assets within the period generally established by regulation or convention in the marketplace are recognized on the trade date, that is, the date that the Group commits to purchase or sell the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Investments and other financial assets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assets at amortized cost (debt instruments)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at amortized cost are subsequently measured using the effective interest method and are subject to impairment. Gains and losses are recognized in profit or loss when the asset is derecognized, modified or impaired.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assets designated at fair value through other comprehensive income (equity investments)</w:t>
      </w:r>
    </w:p>
    <w:p>
      <w:pPr>
        <w:spacing w:after="0" w:line="22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 xml:space="preserve">Upon initial recognition, the Group can elect to classify irrevocably its equity investment as equity investments designated at fair value through other comprehensive income when they meet the definition of equity under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are not held for trading. The classification is determined on an instrument-by-instrument basis.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Gains and losses on these financial assets are never recycled to the statement of profit or loss. Dividends are recognized as other income in the statement of profit or loss when the right of payment has been established, except when the Group benefits from such proceeds as a recovery of part of the cost of the financial asset, in which case, such gains are recorded in other comprehensive income. Equity investments designated at fair value through other comprehensive income are not subject to impairment assessment.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Derecognition of financial assets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 financial asset (or, where applicable, a part of a financial asset or part of a group of similar financial assets) is primarily derecognized (i.e., removed from the Group’s consolidated statement of financial position) when:</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financial assets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approach</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ECLs are recognized in three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financial assets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General approach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considers a financial asset to be in default when contractual payments are 90 days past due unless the Group has reasonable and supportable information to demonstrate that a more lagging default criterion is more appropriate. However, in certain cases, the Group may also consider a financial asset to be in default when to be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at amortized cost are subject to impairment under the general approach and they are classified within the following stages for measurement of ECLs except for accounts receivable and contract assets which apply the simplified approach as detailed below.</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1 – Financial instruments for which credit risk has not increased significantly since initial recognition and for which the loss allowance is measured at an amount equal to 12-month ECLs</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Simplified approach</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accounts receivable and contract assets that do not contain a significant financing component, the Group applies the simplified approach in calculating ECLs. Under the simplified approach,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liabilities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Financial liabilities of the Group are classified, at initial recognition, as financial liabilities at fair value through profit or loss, or amortised cost, as appropriate.</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financial liabilities are recognized initially at fair value and, in the case of loans and borrowings and payables, net of directly attributable transaction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liabilities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liabilities at fair value through profit or loss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liabilities at fair value through profit or loss include financial liabilities held for trading and financial liabilities designated upon initial recognition as at fair value through profit or loss.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recognized in profit or loss. The net fair value gain or loss recognized in profit or loss does not include any interest charged on these financial liabilities.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recognized in the profit or loss, except for the gains or losses arising from the Group’s own credit risk which are presented in other comprehensive income/(loss) with no subsequent reclassification to profit or loss. The net fair value gain or loss recognized in the profit or loss does not include any interest charged on these financial liabilities.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 (accounts and other payable, and loans and borrowings)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After initial recognition, accounts and other payable, and interest-bearing loans and borrowings are subsequently measured at amortized cost, using the effective interest rate method unless the effect of discounting would be immaterial, in which case they are stated at cost. Gains and losses are recognized in profit or loss when the liabilities are derecognized as well as through the effective interest rate amortization process.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Amortized cost is calculated by taking into account any discount or premium on acquisition and fees or costs that are an integral part of the effective interest rate. The effective interest rate amortization is included in profit or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Derecognition of financial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financial liability is derecognized when the obligation under the liability is discharged or cancelled, or expires.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recognized in profit or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Bridgetown Warrants which were exchanged for warrants of the Company are liability-classified. They are initially recognized at fair value on the date of exchange and are subsequently carried at fair value. Changes in fair value are recognized in the consolidated statements of loss and other comprehensive income/(loss) as “Other income/(expense)”.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the terms of a financial liability are renegotiated and the entity issues equity instruments to a creditor to extinguish all or part of the liability (debt for equity swap), a gain or loss is recognized in profit or loss, which is measured as the difference between the carrying amount of the financial liability and the fair value of the equity instruments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Warrant reserve</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Before the Capital Reorganization, CGCL Warrants were derivatives classified as liabilities and initially recognized at fair value, and were subsequently remeasured until the date the CGCL Warrants were exchanged for the Company’s warrants. As the Company’s warrants will be settled by exchanging a fixed amount of cash for a fixed number of the Company’s equity instruments, these warrants are classified as equity after the Capital Reorganization. Incremental costs directly attributable to the issuance of new warrants are deducted against the warrant reserve account. Expired warrants are reclassified from warrant reserve to accumulated losses under equity.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Cash and cash equivalents comprise cash on hand and demand deposits, and short term highly liquid investments that are readily convertible into known amounts of cash, are subject to an insignificant risk of changes in value, and have a maturity of within three months when acquired, less bank overdrafts which are repayable on demand and form an integral part of the Group’s cash management.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Provisions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profit or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Income tax comprises current and deferred tax. Income tax relating to items recognized outside profit or loss is recognized either in other comprehensive income/(loss) or directly in equity.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except: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176" w:lineRule="exact"/>
        <w:rPr>
          <w:sz w:val="20"/>
          <w:szCs w:val="20"/>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62" w:lineRule="exact"/>
        <w:rPr>
          <w:sz w:val="20"/>
          <w:szCs w:val="20"/>
          <w:color w:val="auto"/>
        </w:rPr>
      </w:pPr>
    </w:p>
    <w:p>
      <w:pPr>
        <w:jc w:val="both"/>
        <w:ind w:left="660" w:firstLine="11"/>
        <w:spacing w:after="0" w:line="266"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the same taxable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of goods or services is transferred to the customers at an amount that reflects the consideration to which the Group expects to be entitled in exchange for those goods or services. The amount is determined after deducting cash discounts and rebates and any amounts collected on behalf of third parties, including sales taxes and indirect taxes.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leads generation and marketing service income</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generates fees from financial institution customers for its integrated marketing services which generate leads for the financial institutions from users comparing credit cards, personal loans, mortgages, medical insurance, travel insurance, car insurance and other financial products through the Group’s comparison platforms. Revenue is recognized over time as the services are provided to the financial institution. Users are considered to be the financial institution’s customers and cash incentives provided to the users are accounted for as consideration payable to the customers and recorded as a reduction of revenue at the later of: (i) when revenue is recognized or (ii) when the Group pays or promises to pay the consideration.</w:t>
      </w:r>
    </w:p>
    <w:p>
      <w:pPr>
        <w:spacing w:after="0" w:line="18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fulfilment costs such as gifts, third-party vouchers and gift cards provided to the users are recorded as cost of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commission income</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provides insurance brokerage services from which it earns commission income from insurance companies. Insurance commission income is recognized at a point in time when the related insurance policy is issued by the insurance company to the policyholder. Discounts provided to the users are accounted for as consideration payable to the customers and recorded as a reduction of revenue at the later of: (i) when revenue is recognized or (ii) when the Group pays or promises to pay the consideration.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income</w:t>
      </w:r>
    </w:p>
    <w:p>
      <w:pPr>
        <w:spacing w:after="0" w:line="22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provides marketing services from which it earns service income. Marketing income is recognized over time because the customer simultaneously receives and consumes the benefits provided by the Group.</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income</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provides sponsorship and related services associated with exhibition and conference events. Events income is recognized over time when the event takes place.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Group performs by transferring goods or services to a customer before being unconditionally entitled to the consideration under the contact terms, a contract asset is recognized for the earned consideration that is conditional. Contract assets are subject to impairment assessment, details of which are included in the accounting policies for impairment of financial assets. They are reclassified to accounts receivable when the right to the consideration becomes unconditional.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contract liability is recognized when a payment is received or a payment is due (whichever is earlier) from a customer before the Group transfers the related goods or services. If a customer pays the consideration before the Group transfers goods or services to the customer, a contract liability is recognized when the payment is made, or the payment is due (whichever is earlier). Contract liabilities are recognized as revenue when the Group performs under the contract (i.e., transfers control of the related goods or services to the customer).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operates certain share-based payment arrangements for the purpose of providing incentives and rewards to eligible participants who contribute to the success of the Group’s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Equity-settled transactions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Certain employees of the Group receive remuneration in the form of share-based payments, whereby employees render services as consideration for equity instruments (“equity-settled transactions”). The cost of equity-settled transactions with employees is measured by reference to the fair value of the equity instruments of the Company at the date at which they are granted. The fair value is determined using a binomial model, further details of which are given in note 24 to the financial statements.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reporting period until the vesting date reflects the extent to which the vesting period has expired and the Group’s best estimate of the number of equity instruments that will ultimately vest. The charge or credit to profit or loss for a period represents the movement in the cumulative expense recognized as at the beginning and end of that period.</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For awards that do not ultimately vest because non-market performance and/or service conditions have not been met, no expense is recognized.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the terms of an equity-settled award are modified, at a minimum, an expense is recognized as if the terms had not been modified, if the original terms of the award are met. In addition, an expense is recognized for any modification that increases the total fair value of the share-based payments or is otherwise beneficial to the employee as measured at the date of modification.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share options are exercised, the amount previously recognised in stock compensation reserve will be transferred to share premium. When the share options are forfeited after the vesting date or are still not exercised at the expiry date, the amount previously recognised in share-based payments reserve will continue to be held in stock compensation reserve.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Pension schemes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operates certain defined contribution schemes (the “Pension Schemes”) under the laws/requirements of respective jurisdictions for those employees who are eligible to participate in the Pension Schemes. Contributions are made generally based on a percentage of the employees’ basic salaries and are charged to profit or loss as they become payable in accordance with the rules of the Pension Schemes. The assets of the Pension Schemes are held separately from those of the Group in respective independently administered funds. The Group’s employer contributions vest fully with the employees when contributed into the Pension Schemes.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Defined benefit schemes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Defined benefit costs comprise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on the net defined benefit liability;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Re-measurements of the net defined benefit liability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Service costs which include current service costs, past service costs and gains or losses on non-routine settlements are recognized as expense in profit or loss. Past service costs are recognized when plan amendment or curtailment occurs.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Remeasurement of the net defined benefit liability comprise actuarial gains and losses are recognized immediately in other comprehensive income/(loss) in the period in which they arise. Remeasurements are recognized in accumulated losses within equity and are not reclassified to profit or loss in subsequent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Foreign currencies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presented in US$,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profit or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measured. The gain or loss arising on translation of a non-monetary item measured at fair value is treated in line with the recognition of the gain or loss on change in fair value of the item (i.e. translation difference on the item whose fair value gain or loss is recognized in other comprehensive income/(loss) or profit or loss is also recognized in other comprehensive income/(loss) or profit or loss, respectively).</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functional currencies of certain overseas subsidiaries are currencies other than the US$. As at the end of the reporting period, the assets and liabilities of these entities are translated into US$ at the exchange rates prevailing at the end of the reporting period and their profit or loss are translated into US$ at the exchange rates that approximate to those prevailing at the dates of the transactions.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resulting exchange differences are recognized in other comprehensive income/(loss) and accumulated in the exchange fluctuation reserve. On disposal of a foreign operation, the cumulative amount in the reserve relating to that particular foreign operation is recognized in profit or loss.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purpose of the consolidated statement of cash flows, the cash flows of overseas subsidiaries are translated into US$ at the exchange rates ruling at the dates of the cash flows. Frequently recurring cash flows of overseas subsidiaries which arise throughout the year are translated into US$ at the average exchange rates for the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Government grants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at their fair value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and net realisable value. Costs of inventories are determined on a first in, first-out method. Net realisable value represents the estimated selling price for inventories less all estimated costs of completion and costs necessary to make the sale. Costs necessary to make the sale include incremental costs directly attributable to the sale and non-incremental costs which the Group must incur to make the sale.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ACCOUNTING ESTIMATES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Group’s financial statements requires management to make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Estimation uncertainty</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7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non-financial assets</w:t>
      </w:r>
    </w:p>
    <w:p>
      <w:pPr>
        <w:spacing w:after="0" w:line="22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assesses whether there are any indicators of impairment for all non-financial assets at the end of each reporting period. Non-financial assets with finite useful lives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 calculations of value in use for an asset or cash-generating unit are most sensitive to the following assumptions: forecasted revenues, cost of revenue, operating expenses and discount rate.</w:t>
      </w:r>
    </w:p>
    <w:p>
      <w:pPr>
        <w:spacing w:after="0" w:line="18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financial instruments of unlisted equity investment</w:t>
      </w:r>
    </w:p>
    <w:p>
      <w:pPr>
        <w:spacing w:after="0" w:line="22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non-current financial asset represents an unlisted equity investment has been valued based on a market-based valuation technique as detailed in note 31 to the financial statements. The valuation requires the Group to determine the comparable public companies (peers) and select the price multiple. In addition, the Group makes estimates about the discount for illiquidity. The Group classifies the fair value of these investments as Level 3. Further details are included in note 31 to the financial statements.</w:t>
      </w:r>
    </w:p>
    <w:p>
      <w:pPr>
        <w:spacing w:after="0" w:line="1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Equity-settled share-based payment transactions</w:t>
      </w:r>
    </w:p>
    <w:p>
      <w:pPr>
        <w:spacing w:after="0" w:line="22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measures the cost of equity-settled share-based payments with employees by reference to the fair value of the Company’s shares at the date at which they are granted. Judgement is required in determining the most appropriate valuation model for the equity-settled share-based payments, depending on the terms and conditions of the transactions. Management is also required to use judgement in determining the most appropriate inputs to the valuation model. The assumptions and model used are disclosed in note 25 to the financial statements. In addition, management is required to estimate the expected forfeiture rate and only recognize expense for those shares expected to vest. In estimating the Group’s forfeiture rate, management analyzed its historical forfeiture rate and the remaining lives of unvested options.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from internet leads generation and marketing service income – Estimating variable consideration</w:t>
      </w:r>
    </w:p>
    <w:p>
      <w:pPr>
        <w:spacing w:after="0" w:line="22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is recognized based on management’s best estimate of the user applications for products and/or services resulting from leads provided to financial institution customers through the Group’s platforms (i.e. estimated approval rates) prior to the actual approval of the applications by the financial institution customers. Management considers the historical application approval experience in making its estimates. Any variances between the accrued revenue and actual amounts billed are subsequently adjusted upon the confirmation of the amount with the financial institution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an online financial comparison platform across multiple geographic markets, with each market considered an operating and reportable segment. Each segment functions within a distinct regulatory, political, and economic environment, and its financial performance is influenced by local market dynamics and strategic initiatives. The segments are also at different stages of development, with Hong Kong and Singapore being the most mature.</w:t>
      </w:r>
    </w:p>
    <w:p>
      <w:pPr>
        <w:spacing w:after="0" w:line="17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cessation of consumer-facing operations in Malaysia and Other Asia in prior years, the Company has four operating and reportable segments in 2025: Hong Kong, Singapore, the Philippines, and Taiwan.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the results of the Group’s operating segments separately for the purpose of assessing performance and making decisions about resource allocations. Segment performance is evaluated based on reportable segment results which is a measure of operating profit/(loss) before tax.</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Included in the segment profit (loss) are allocated cost and expenses such as cost of revenue, advertising and market expenses and other segment costs and expenses.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external customers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profit/(loss) (Note)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off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costs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costs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professional fees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corporate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Philippines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70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31,116,926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30,933,640</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7,372,109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4,003,706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73,426,381</w:t>
            </w:r>
          </w:p>
        </w:tc>
        <w:tc>
          <w:tcPr>
            <w:tcW w:w="4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1,559,363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(1,662,319)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(109,698)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-479425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-136525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581,768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-119380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(53,853)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(1,012,507)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(1,193,246)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(1,288,714)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4,800,870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(2,811,975)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(565,982)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(2,646,323)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(912,019)</w:t>
      </w:r>
    </w:p>
    <w:p>
      <w:pPr>
        <w:spacing w:after="0" w:line="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(5,138,570)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26035</wp:posOffset>
            </wp:positionV>
            <wp:extent cx="702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51435</wp:posOffset>
            </wp:positionV>
            <wp:extent cx="7029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877"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Hong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Kong</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Malaysia</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Asia</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6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5"/>
        </w:trPr>
        <w:tc>
          <w:tcPr>
            <w:tcW w:w="1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9"/>
                <w:szCs w:val="19"/>
                <w:color w:val="auto"/>
              </w:rPr>
            </w:pPr>
          </w:p>
        </w:tc>
      </w:tr>
      <w:tr>
        <w:trPr>
          <w:trHeight w:val="234"/>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04"/>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30,443,311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30,890,285</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12,843,932</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5,136,523</w:t>
            </w:r>
          </w:p>
        </w:tc>
        <w:tc>
          <w:tcPr>
            <w:tcW w:w="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196,695</w:t>
            </w:r>
          </w:p>
        </w:tc>
        <w:tc>
          <w:tcPr>
            <w:tcW w:w="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79,510,746</w:t>
            </w:r>
          </w:p>
        </w:tc>
      </w:tr>
      <w:tr>
        <w:trPr>
          <w:trHeight w:val="216"/>
        </w:trPr>
        <w:tc>
          <w:tcPr>
            <w:tcW w:w="1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 loss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(2,585,990)</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(6,501,311)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(1,726,411)</w:t>
            </w:r>
          </w:p>
        </w:tc>
        <w:tc>
          <w:tcPr>
            <w:tcW w:w="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(1,331,595)</w:t>
            </w:r>
          </w:p>
        </w:tc>
        <w:tc>
          <w:tcPr>
            <w:tcW w:w="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(552,509)</w:t>
            </w: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(88,113)</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(11,432,169)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(24,218,098)</w:t>
            </w:r>
          </w:p>
        </w:tc>
      </w:tr>
      <w:tr>
        <w:trPr>
          <w:trHeight w:val="196"/>
        </w:trPr>
        <w:tc>
          <w:tcPr>
            <w:tcW w:w="11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Reconciliation:</w:t>
            </w:r>
          </w:p>
        </w:tc>
        <w:tc>
          <w:tcPr>
            <w:tcW w:w="23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1,478,436</w:t>
            </w:r>
          </w:p>
        </w:tc>
      </w:tr>
      <w:tr>
        <w:trPr>
          <w:trHeight w:val="198"/>
        </w:trPr>
        <w:tc>
          <w:tcPr>
            <w:tcW w:w="34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disposal of</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in Malaysian operations</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(25,472)</w:t>
            </w: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(4,042,969)</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(4,541,074)</w:t>
            </w: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(3,179,214)</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446,811</w:t>
            </w:r>
          </w:p>
        </w:tc>
      </w:tr>
      <w:tr>
        <w:trPr>
          <w:trHeight w:val="237"/>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(4,196,831)</w:t>
            </w:r>
          </w:p>
        </w:tc>
      </w:tr>
      <w:tr>
        <w:trPr>
          <w:trHeight w:val="216"/>
        </w:trPr>
        <w:tc>
          <w:tcPr>
            <w:tcW w:w="1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(37,678,411)</w:t>
            </w:r>
          </w:p>
        </w:tc>
      </w:tr>
      <w:tr>
        <w:trPr>
          <w:trHeight w:val="642"/>
        </w:trPr>
        <w:tc>
          <w:tcPr>
            <w:tcW w:w="1120" w:type="dxa"/>
            <w:vAlign w:val="bottom"/>
            <w:tcBorders>
              <w:top w:val="single" w:sz="8" w:color="CCEEFF"/>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F-32</w:t>
            </w:r>
          </w:p>
        </w:tc>
        <w:tc>
          <w:tcPr>
            <w:tcW w:w="7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external customers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financial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 on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equity-settled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Hong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60" w:type="dxa"/>
            <w:vAlign w:val="bottom"/>
          </w:tcPr>
          <w:p>
            <w:pPr>
              <w:spacing w:after="0"/>
              <w:rPr>
                <w:sz w:val="21"/>
                <w:szCs w:val="21"/>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Kong</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Malaysia</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673"/>
        </w:trPr>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26,947,177</w:t>
            </w:r>
          </w:p>
        </w:tc>
        <w:tc>
          <w:tcPr>
            <w:tcW w:w="10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32,069,713</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14,169,389</w:t>
            </w: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6,742,747</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738,053</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4,002</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80,671,081</w:t>
            </w:r>
          </w:p>
        </w:tc>
        <w:tc>
          <w:tcPr>
            <w:tcW w:w="40" w:type="dxa"/>
            <w:vAlign w:val="bottom"/>
          </w:tcPr>
          <w:p>
            <w:pPr>
              <w:spacing w:after="0"/>
              <w:rPr>
                <w:sz w:val="24"/>
                <w:szCs w:val="24"/>
                <w:color w:val="auto"/>
              </w:rPr>
            </w:pPr>
          </w:p>
        </w:tc>
      </w:tr>
      <w:tr>
        <w:trPr>
          <w:trHeight w:val="21"/>
        </w:trPr>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680,500</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(1,579,640)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768,659</w:t>
            </w:r>
          </w:p>
        </w:tc>
        <w:tc>
          <w:tcPr>
            <w:tcW w:w="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(826,446)</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(485,596)</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(105,546)</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(5,216,442)</w:t>
            </w:r>
          </w:p>
        </w:tc>
        <w:tc>
          <w:tcPr>
            <w:tcW w:w="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(6,764,511)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-479425</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-136525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872,503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-119380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(19,028,007)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(7,164,677)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(3,105,507)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(6,629,044)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(57,333,432)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(67,027,178)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(6,643,367)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895,392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(172,537,530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-119380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80"/>
            <w:col w:w="7920"/>
          </w:cols>
          <w:pgMar w:left="320" w:top="877"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right="6540" w:firstLine="8"/>
        <w:spacing w:after="0" w:line="500"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 (continued) Geographical information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Group’s non-current assets is presented based on the geographical location of the assets and excludes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996,304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1,693,004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382,408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121,049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42,735</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1,731,684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1,976,303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measure of segment assets and liabilities for each reportable segment is not disclosed as such amounts are not regularly provided to the Chief Operating Decision Maker (“CODM”), comprising the executive directors of the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Entity-wide disclosures on revenues information by geographical markets, by vertical, and information about major customers are included in note 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AND OTHER INCOME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analysis of revenue is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63,478,087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71,188,725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75,794,855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commission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6,880,658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5,206,123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3,362,745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2,465,461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2,109,372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Events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602,175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1,006,526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73,426,381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80,671,081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Internet leads generation and marketing service income and Insurance commission income are reported net of cash discounts and rebates. Cash discounts and rebates were US$12,310,964, US$4,797,540 and US$10,210,371, and US$1,958,849, US$1,516,458 and US$1,267,081 for Internet leads generation and marketing service income and Insurance commission income in 2025,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OTHER INCOME (continued)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Disaggregated revenue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Geographical markets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31,116,926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30,443,311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26,947,177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30,933,640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30,890,285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7,372,109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12,843,932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14,169,389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4,003,706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5,136,523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Asia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6,880,658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5,206,123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66,545,723</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74,304,623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77,308,336</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43,776,574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48,958,072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60,257,595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9,308,521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12,185,083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10,103,677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8,503,596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3,579,975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9,100,780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8,181,119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verticals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1,136,829</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1,682,876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reporting period that was included in contract liabilities at the beginning of the reporting period amounted to US$1,002,317 (2024: US$1,312,735; 2023: US$301,986).</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customers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customers, which individually contributed over 10% of the total revenue of the Group during the year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17,713,000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11,801,000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9,614,000</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12,423,000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7,970,000</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460" w:right="4500" w:hanging="5452"/>
        <w:spacing w:after="0" w:line="783" w:lineRule="auto"/>
        <w:tabs>
          <w:tab w:leader="none" w:pos="3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generated less than 10% of the total revenue of the Group during the year.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OTHER INCOME (continued)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w:t>
      </w:r>
    </w:p>
    <w:p>
      <w:pPr>
        <w:spacing w:after="0" w:line="225" w:lineRule="exact"/>
        <w:rPr>
          <w:rFonts w:ascii="Times New Roman" w:cs="Times New Roman" w:eastAsia="Times New Roman" w:hAnsi="Times New Roman"/>
          <w:sz w:val="18"/>
          <w:szCs w:val="18"/>
          <w:color w:val="auto"/>
        </w:rPr>
      </w:pPr>
    </w:p>
    <w:p>
      <w:pPr>
        <w:ind w:left="980" w:right="4640" w:firstLine="3"/>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the Group’s performance obligations is summarized below: </w:t>
      </w:r>
      <w:r>
        <w:rPr>
          <w:rFonts w:ascii="Times New Roman" w:cs="Times New Roman" w:eastAsia="Times New Roman" w:hAnsi="Times New Roman"/>
          <w:sz w:val="18"/>
          <w:szCs w:val="18"/>
          <w:i w:val="1"/>
          <w:iCs w:val="1"/>
          <w:color w:val="auto"/>
        </w:rPr>
        <w:t>Internet leads generation and marketing service income</w:t>
      </w:r>
    </w:p>
    <w:p>
      <w:pPr>
        <w:spacing w:after="0" w:line="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integrated marketing services performance obligation is generally satisfied over time as the services are mainly provided to the financial institution customers and payment is generally due within one to three months.</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commission income</w:t>
      </w:r>
    </w:p>
    <w:p>
      <w:pPr>
        <w:spacing w:after="0" w:line="227"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is satisfied when the related insurance policy is issued to the policyholder. The Group generally withholds the commission that it is entitled when collecting the premium from the policyholder and remits the remaining premium to the insurance companies.</w:t>
      </w:r>
    </w:p>
    <w:p>
      <w:pPr>
        <w:spacing w:after="0" w:line="17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income</w:t>
      </w:r>
    </w:p>
    <w:p>
      <w:pPr>
        <w:spacing w:after="0" w:line="227"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for marketing income is generally satisfied over time as services are rendered and payment is generally due within one to three months.</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income</w:t>
      </w:r>
    </w:p>
    <w:p>
      <w:pPr>
        <w:spacing w:after="0" w:line="227"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for events income is generally satisfied over time when the event takes place and payment is generally received in advance of the event date and recorded as contract liabilities.</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other income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574,844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1,467,357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refundable rental deposit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60,157</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649,480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2,091,957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877,514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has disposed of the brand, its website, domain names, select user data, and certain intellectual property right operating exclusively in Malaysia with carrying amount of US$nil to a third party in exchange of preference shares in the third party with an estimated fair value of US$600,000 (note 10).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BEFORE TAX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Group’s loss before tax is arrived at after charging/(crediting):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62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development costs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3,021,933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6,202,250</w:t>
            </w: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and equipment (included in general, administrative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218,471</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of right-of-use assets (included in general, administrative and other</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743,956</w:t>
            </w:r>
          </w:p>
        </w:tc>
      </w:tr>
      <w:tr>
        <w:trPr>
          <w:trHeight w:val="216"/>
        </w:trPr>
        <w:tc>
          <w:tcPr>
            <w:tcW w:w="62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allowances and other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14,099,846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20,310,898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18,392,916</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1,288,714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3,179,214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employee benefits expense/(credit)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109,702</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scheme contributions (defined contribution scheme)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895,286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1,322,973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1,179,399</w:t>
            </w: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capitalized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(105,473)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(677,370)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(1,357,537)</w:t>
            </w:r>
          </w:p>
        </w:tc>
      </w:tr>
      <w:tr>
        <w:trPr>
          <w:trHeight w:val="249"/>
        </w:trPr>
        <w:tc>
          <w:tcPr>
            <w:tcW w:w="160" w:type="dxa"/>
            <w:vAlign w:val="bottom"/>
            <w:shd w:val="clear" w:color="auto" w:fill="CCEEFF"/>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recognized*</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(50,731)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(64,232)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(78,703)</w:t>
            </w:r>
          </w:p>
        </w:tc>
      </w:tr>
      <w:tr>
        <w:trPr>
          <w:trHeight w:val="210"/>
        </w:trPr>
        <w:tc>
          <w:tcPr>
            <w:tcW w:w="160" w:type="dxa"/>
            <w:vAlign w:val="bottom"/>
            <w:tcBorders>
              <w:top w:val="single" w:sz="8" w:color="CCEEFF"/>
              <w:bottom w:val="single" w:sz="8" w:color="CCEEFF"/>
            </w:tcBorders>
          </w:tcPr>
          <w:p>
            <w:pPr>
              <w:spacing w:after="0"/>
              <w:rPr>
                <w:sz w:val="18"/>
                <w:szCs w:val="18"/>
                <w:color w:val="auto"/>
              </w:rPr>
            </w:pPr>
          </w:p>
        </w:tc>
        <w:tc>
          <w:tcPr>
            <w:tcW w:w="60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16,190,244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24,150,614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24,931,493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 payments not included in measurement of lease liabilities (included in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42,931</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off/Impairment of intangible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1,193,246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4,541,074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3,105,507</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other derivative financial instruments (included in changes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fair value of financial instruments)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9,536,904</w:t>
            </w: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warrant liabilities (included in changes in fair value of</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47,796,528</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equity-settled transactions (included in general, administrative and other</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 (included in other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ind w:left="180" w:right="1640" w:hanging="161"/>
        <w:spacing w:after="0" w:line="250" w:lineRule="auto"/>
        <w:rPr>
          <w:sz w:val="20"/>
          <w:szCs w:val="20"/>
          <w:color w:val="auto"/>
        </w:rPr>
      </w:pPr>
      <w:r>
        <w:rPr>
          <w:rFonts w:ascii="Times New Roman" w:cs="Times New Roman" w:eastAsia="Times New Roman" w:hAnsi="Times New Roman"/>
          <w:sz w:val="18"/>
          <w:szCs w:val="18"/>
          <w:color w:val="auto"/>
        </w:rPr>
        <w:t>Gain on disposal of assets in Malaysian operations (included in other income/expenses)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Reversal of provision for expected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differences,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(included impairment of other asset of US$316,113,(2024: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2023: nil))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(4,818,410)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4,783,117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(656,605)</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37,283,631</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46,179,969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43,929,982</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20" w:space="720"/>
            <w:col w:w="3900"/>
          </w:cols>
          <w:pgMar w:left="320" w:top="877" w:right="339" w:bottom="1440" w:gutter="0" w:footer="0" w:header="0"/>
          <w:type w:val="continuous"/>
        </w:sect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government grants have been received for employment support schemes in related to job support schemes.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other than these depreciation, general, administrative and other operating expenses mainly include legal and professional fees of US$3,224,000, written off/impairment of intangible assets of US$1,193,246, insurance costs of US$734,593, investor relation costs of US$565,982 and other office and corporate cost.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COSTS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analysis of finance costs is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198"/>
        </w:trPr>
        <w:tc>
          <w:tcPr>
            <w:tcW w:w="4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33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7"/>
                <w:szCs w:val="17"/>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 on loan notes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18,975,635</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on lease liabilities</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48,363</w:t>
            </w: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discounted amounts of provisions arising from the passage of time</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40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0" w:type="dxa"/>
            <w:vAlign w:val="bottom"/>
            <w:shd w:val="clear" w:color="auto" w:fill="CCEEFF"/>
          </w:tcPr>
          <w:p>
            <w:pPr>
              <w:spacing w:after="0"/>
              <w:rPr>
                <w:sz w:val="21"/>
                <w:szCs w:val="21"/>
                <w:color w:val="auto"/>
              </w:rPr>
            </w:pPr>
          </w:p>
        </w:tc>
        <w:tc>
          <w:tcPr>
            <w:tcW w:w="58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19,028,007</w:t>
            </w:r>
          </w:p>
        </w:tc>
      </w:tr>
      <w:tr>
        <w:trPr>
          <w:trHeight w:val="21"/>
        </w:trPr>
        <w:tc>
          <w:tcPr>
            <w:tcW w:w="40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MANAGEMENT PERSONNEL COMPENSATION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key management personnel of the Group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allowances and other benefits</w:t>
            </w:r>
          </w:p>
        </w:tc>
        <w:tc>
          <w:tcPr>
            <w:tcW w:w="13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915,127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1,384,247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3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793,402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2,076,504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4,869,487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other long-term employee benefits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(69,207)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Pension scheme contributions</w:t>
            </w:r>
          </w:p>
        </w:tc>
        <w:tc>
          <w:tcPr>
            <w:tcW w:w="11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18,070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19,189</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1,726,599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6,203,716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corporate income tax rates for Hong Kong, Singapore, Taiwan and Malaysia subsidiaries are 16.5%, 17%, 20% and 24%, respectively, and the applicable corporate income tax rates for Philippines are 20% or 25% depending on the net taxable income and the total assets of the respective entities, for the years ended December 31, 2025, 2024 and 2023. Tax on losses have been calculated at the rates of tax prevailing in the countries/jurisdictions in which the Group operates.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4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3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3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64,343</w:t>
            </w: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(note 22)</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388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for the year</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62,983</w:t>
            </w:r>
          </w:p>
        </w:tc>
      </w:tr>
      <w:tr>
        <w:trPr>
          <w:trHeight w:val="20"/>
        </w:trPr>
        <w:tc>
          <w:tcPr>
            <w:tcW w:w="3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8"/>
                <w:szCs w:val="18"/>
                <w:color w:val="auto"/>
              </w:rPr>
              <w:t>F-38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(continued)</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tax expense applicable to loss before tax at the statutory tax rate for the countries/jurisdictions in which the Group’s operations are domiciled to the tax expense at the Group’s effective tax rate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Tax credit at the domestic rates applicable to losses in the countries/jurisdictions where the Group</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(635,969)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(6,345,825)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(3,809,856)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(327,277)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(471,515)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deductible for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636,813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and deductible temporary differences not recognized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1,718,716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5,955,248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3,645,841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losses and deductible temporary differences utilized from previous periods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(960,620)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(282,239)</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52,804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At the end of the reporting period, the Group had unused tax losses of US$96,894,329 (2024: US$73,469,156; 2023: US$62,470,655), subject to the agreement by the relevant tax authorities, that are available for offsetting against future taxable profits of the entities in which the losses arose, of which, an aggregate amount of US$70,923,297 (2024: US$42,594,044; 2023: US$32,753,721) are available indefinitely and the remaining will expire between one to ten years. The Group had deductible temporary differences of US$30,209,058 (2024: US$27,161,665; 2023: US$18,659,174) at the end of the reporting period. Deferred tax assets have not been recognized in respect of these losses and deductible temporary differences as they have mainly arisen in entities that have been loss-making and, in the opinion of management, it is currently not considered probable that taxable profits will be available against which the tax losses can be utilized.</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the end of the reporting period, no deferred tax has been recognized for withholding taxes of the Group’s subsidiaries established in certain jurisdictions with relevant tax laws and regulations. In the opinion of the management, it is not probable that these subsidiaries will distribute such earnings in the foreseeable future. The aggregate amount of taxable temporary differences associated with investments in subsidiaries in these jurisdictions amounted to US$25,603 (2024: US$45,913; 2023: US$363,858), for which deferred tax liabilities of US$3,840 (2024: US$6,887; 2023: US$2,292) have not been recognized at December 31, 2025.</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Pillar Two legislation has been enacted or substantively enacted in certain jurisdictions in which the Group operates. However, this legislation does not apply to the Group as its consolidated revenue is lower than Euro 750 million (equivalent to US$882 million).</w:t>
      </w:r>
    </w:p>
    <w:p>
      <w:pPr>
        <w:spacing w:after="0" w:line="16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FINANCIAL ASSET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Group disposed certain assets in Malaysia to a third party including the brand, its website, domain names, select user data, and certain intellectual property right in exchange for preference shares in the parent company of the buyer. At initial recognition, the Group made an irrevocable election to present subsequent changes in the fair value of the equity instrument in other comprehensive income as the Group is holding this investment for strategic purposes. No dividends were received on this investment during the years ended December 31, 2024 and 2025.</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investments designated at fair value through other comprehensive income </w:t>
      </w:r>
      <w:r>
        <w:rPr>
          <w:rFonts w:ascii="Times New Roman" w:cs="Times New Roman" w:eastAsia="Times New Roman" w:hAnsi="Times New Roman"/>
          <w:sz w:val="18"/>
          <w:szCs w:val="18"/>
          <w:color w:val="auto"/>
        </w:rPr>
        <w:t>Unlisted equity investment,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544,000</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600,000</w:t>
      </w:r>
    </w:p>
    <w:p>
      <w:pPr>
        <w:spacing w:after="0" w:line="2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40" w:space="720"/>
            <w:col w:w="740" w:space="600"/>
            <w:col w:w="840"/>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3"/>
          <w:szCs w:val="13"/>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44"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FINANCIAL ASSET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non-current financial asset movement is as follow: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936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Addition</w:t>
            </w:r>
          </w:p>
        </w:tc>
        <w:tc>
          <w:tcPr>
            <w:tcW w:w="93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changes in fair value</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9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660" w:type="dxa"/>
            <w:vAlign w:val="bottom"/>
            <w:vMerge w:val="continue"/>
          </w:tcPr>
          <w:p>
            <w:pPr>
              <w:spacing w:after="0"/>
              <w:rPr>
                <w:sz w:val="24"/>
                <w:szCs w:val="24"/>
                <w:color w:val="auto"/>
              </w:rPr>
            </w:pPr>
          </w:p>
        </w:tc>
        <w:tc>
          <w:tcPr>
            <w:tcW w:w="93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936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0" w:type="dxa"/>
            <w:vAlign w:val="bottom"/>
          </w:tcPr>
          <w:p>
            <w:pPr>
              <w:spacing w:after="0"/>
              <w:rPr>
                <w:sz w:val="1"/>
                <w:szCs w:val="1"/>
                <w:color w:val="auto"/>
              </w:rPr>
            </w:pPr>
          </w:p>
        </w:tc>
      </w:tr>
      <w:tr>
        <w:trPr>
          <w:trHeight w:val="238"/>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3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0" w:type="dxa"/>
            <w:vAlign w:val="bottom"/>
            <w:vMerge w:val="continue"/>
          </w:tcPr>
          <w:p>
            <w:pPr>
              <w:spacing w:after="0"/>
              <w:rPr>
                <w:sz w:val="16"/>
                <w:szCs w:val="16"/>
                <w:color w:val="auto"/>
              </w:rPr>
            </w:pPr>
          </w:p>
        </w:tc>
        <w:tc>
          <w:tcPr>
            <w:tcW w:w="9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24,925,472</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(603,511)</w:t>
            </w: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25,719,110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(22,666,208)</w:t>
            </w: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4,662,742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17,631,389</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3,021,933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provided during the year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4,541,074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(493,269)</w:t>
            </w: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24,701,127</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 off</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(21,472,962)</w:t>
            </w:r>
          </w:p>
        </w:tc>
        <w:tc>
          <w:tcPr>
            <w:tcW w:w="0" w:type="dxa"/>
            <w:vAlign w:val="bottom"/>
          </w:tcPr>
          <w:p>
            <w:pPr>
              <w:spacing w:after="0"/>
              <w:rPr>
                <w:sz w:val="1"/>
                <w:szCs w:val="1"/>
                <w:color w:val="auto"/>
              </w:rPr>
            </w:pPr>
          </w:p>
        </w:tc>
      </w:tr>
      <w:tr>
        <w:trPr>
          <w:trHeight w:val="23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705,205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4,036,883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625,859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1,017,983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 written off of intangible assets with net book value of US$1,193,246 was recognized as certain development projects were abandoned as a result of changes in the Company’s technology development investment strategy.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December 31, 2024, due to the uncertainty in the global economic outlook and the net assets of the Company being more than its market capitalization, the Group performed an impairment test for the cash generating unit (“CGU”) containing the intangible assets. The recoverable amount of the CGU that included the intangible assets was determined based on a value in use calculation using cash flow projections based on financial budgets approved by senior management covering a three-year period. The discount rate applied in the cash flow projections was 18%.</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impairment test, the carrying amount of the intangible assets was impaired by US$4,541,074 and no impairment loss was allocated to the property and equipment and right-of-use assets included in the CGU as the recoverable amounts of these assets were higher than their carrying amounts. The impairment loss recognized was included in “General, administrative and other operating expenses” in the consolidated statement of profit or loss.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 impairment loss of US$3,105,507 was recognized as certain development projects were abandoned as a result of changes in the Company’s technology development investment strategy.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93"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Furniture,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172,601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1,052,424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1,400,728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187,732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337,508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(83,746)</w:t>
            </w: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(27,080)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354,914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1,618,687</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122,643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(231,904)</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6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317,887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1,085,514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1,545,469</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135,452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925,316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1,210,239</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for the year</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154,721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309,033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(83,746)</w:t>
            </w: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(5,108)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(23,440)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(31,352)</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285,065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957,270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1,404,174</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for the year</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165,847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(228,233)</w:t>
            </w:r>
          </w:p>
        </w:tc>
        <w:tc>
          <w:tcPr>
            <w:tcW w:w="0" w:type="dxa"/>
            <w:vAlign w:val="bottom"/>
          </w:tcPr>
          <w:p>
            <w:pPr>
              <w:spacing w:after="0"/>
              <w:rPr>
                <w:sz w:val="1"/>
                <w:szCs w:val="1"/>
                <w:color w:val="auto"/>
              </w:rPr>
            </w:pPr>
          </w:p>
        </w:tc>
      </w:tr>
      <w:tr>
        <w:trPr>
          <w:trHeight w:val="23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243,536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1,374,078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74,351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171,391</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69,849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214,513</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F-41</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Group as a lessee</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lease contracts for offices premises and office equipment used in its operations. Leases of offices premises generally have lease periods of two to three years, while the office equipment generally have a lease term of five years. Generally, the Group is restricted from assigning and subleasing the leased assets outside the Group.</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carrying amount of the Group’s right-of-use assets and the movements during the year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premises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583,078</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884,288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(710,579)</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(712,003)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(18,231)</w:t>
            </w: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(18,199)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738,556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 for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431,238</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475,118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(740,856)</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(743,146)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24,602</w:t>
            </w:r>
          </w:p>
        </w:tc>
        <w:tc>
          <w:tcPr>
            <w:tcW w:w="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928,658</w:t>
            </w: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934,434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(b) Lease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The carrying amount of lease liabilities and the movements during the year are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January 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735,550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New leases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472,236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interest recognized during the year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(778,261)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(745,592)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at December 31</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941,964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735,550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Analyzed into: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702,287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293,672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maturity analysis of lease liabilities is disclosed in note 30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Group as a lessee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recognized in profit or loss in relation to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charge of right-of-use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11,002</w:t>
            </w:r>
          </w:p>
        </w:tc>
        <w:tc>
          <w:tcPr>
            <w:tcW w:w="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 recognized in profit or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807,777</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746,829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835,250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 The Group also had non-cash additions/lease modifications as follow:</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909,182</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884,288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553,823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905,949</w:t>
            </w: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866,795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  The total cash outflow for leases: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789,264</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756,718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822,202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68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4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13,644,371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(118,669)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(106,475)</w:t>
            </w: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18,745,572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13,537,896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January 1, 2024, accounts receivables from contracts with customers of the Group amounted to US$17,236,384.</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Group’s trading terms with its customers are mainly on credit. The credit period is generally one to three months. The Group seeks to maintain strict control over its outstanding receivables and overdue balances are reviewed regularly by management. The Group does not hold any collateral or other credit enhancements over its accounts receivable balances. Accounts receivable are non-interest-bearing.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movements in the allowance for expected credit losses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39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109,651</w:t>
            </w:r>
          </w:p>
        </w:tc>
        <w:tc>
          <w:tcPr>
            <w:tcW w:w="40" w:type="dxa"/>
            <w:vAlign w:val="bottom"/>
          </w:tcPr>
          <w:p>
            <w:pPr>
              <w:spacing w:after="0"/>
              <w:rPr>
                <w:sz w:val="24"/>
                <w:szCs w:val="24"/>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112,122</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(112,246)</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79"/>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118,669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106,475</w:t>
            </w:r>
          </w:p>
        </w:tc>
        <w:tc>
          <w:tcPr>
            <w:tcW w:w="40" w:type="dxa"/>
            <w:vAlign w:val="bottom"/>
          </w:tcPr>
          <w:p>
            <w:pPr>
              <w:spacing w:after="0"/>
              <w:rPr>
                <w:sz w:val="24"/>
                <w:szCs w:val="24"/>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analysis is performed at each reporting date using a provision matrix to measure expected credit losses. The provision rates are based on days past due for customers with similar loss patterns by geographical region. The calculation reflects reasonable and supportable information that is available at the reporting date about past events, current conditions and forecasts of future economic conditions. Generally, accounts receivable are written off if past due for more than two years and are not subject to enforcement activity.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at December 31, 2025, accounts receivables included an aggregate balance of US$170,563 (2024: US$109,959) for revenue earned from companies controlled by a shareholder with significant influence over the Company (see note 28).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out below is the information about the credit risk exposure on the Group’s accounts receivable using a provision matrix: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credit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credit</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 rate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2025</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4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to 6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18,602,300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 to 12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12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108,445</w:t>
            </w:r>
          </w:p>
        </w:tc>
        <w:tc>
          <w:tcPr>
            <w:tcW w:w="0" w:type="dxa"/>
            <w:vAlign w:val="bottom"/>
          </w:tcPr>
          <w:p>
            <w:pPr>
              <w:spacing w:after="0"/>
              <w:rPr>
                <w:sz w:val="1"/>
                <w:szCs w:val="1"/>
                <w:color w:val="auto"/>
              </w:rPr>
            </w:pPr>
          </w:p>
        </w:tc>
      </w:tr>
      <w:tr>
        <w:trPr>
          <w:trHeight w:val="216"/>
        </w:trPr>
        <w:tc>
          <w:tcPr>
            <w:tcW w:w="18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4820" w:type="dxa"/>
            <w:vAlign w:val="bottom"/>
            <w:gridSpan w:val="3"/>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6"/>
                <w:szCs w:val="16"/>
                <w:color w:val="auto"/>
              </w:rPr>
              <w:t>0.63</w:t>
            </w:r>
            <w:r>
              <w:rPr>
                <w:rFonts w:ascii="Times New Roman" w:cs="Times New Roman" w:eastAsia="Times New Roman" w:hAnsi="Times New Roman"/>
                <w:sz w:val="29"/>
                <w:szCs w:val="29"/>
                <w:color w:val="auto"/>
                <w:vertAlign w:val="superscript"/>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118,669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 at December 31, 2024</w:t>
            </w:r>
          </w:p>
        </w:tc>
        <w:tc>
          <w:tcPr>
            <w:tcW w:w="3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to 6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13,219,385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 to 12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333,152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23,964</w:t>
            </w:r>
          </w:p>
        </w:tc>
        <w:tc>
          <w:tcPr>
            <w:tcW w:w="0" w:type="dxa"/>
            <w:vAlign w:val="bottom"/>
          </w:tcPr>
          <w:p>
            <w:pPr>
              <w:spacing w:after="0"/>
              <w:rPr>
                <w:sz w:val="1"/>
                <w:szCs w:val="1"/>
                <w:color w:val="auto"/>
              </w:rPr>
            </w:pPr>
          </w:p>
        </w:tc>
      </w:tr>
      <w:tr>
        <w:trPr>
          <w:trHeight w:val="23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12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53,715</w:t>
            </w:r>
          </w:p>
        </w:tc>
        <w:tc>
          <w:tcPr>
            <w:tcW w:w="0" w:type="dxa"/>
            <w:vAlign w:val="bottom"/>
          </w:tcPr>
          <w:p>
            <w:pPr>
              <w:spacing w:after="0"/>
              <w:rPr>
                <w:sz w:val="1"/>
                <w:szCs w:val="1"/>
                <w:color w:val="auto"/>
              </w:rPr>
            </w:pPr>
          </w:p>
        </w:tc>
      </w:tr>
      <w:tr>
        <w:trPr>
          <w:trHeight w:val="216"/>
        </w:trPr>
        <w:tc>
          <w:tcPr>
            <w:tcW w:w="18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820" w:type="dxa"/>
            <w:vAlign w:val="bottom"/>
            <w:gridSpan w:val="3"/>
          </w:tcPr>
          <w:p>
            <w:pPr>
              <w:jc w:val="right"/>
              <w:ind w:right="120"/>
              <w:spacing w:after="0" w:line="256" w:lineRule="exact"/>
              <w:rPr>
                <w:sz w:val="20"/>
                <w:szCs w:val="20"/>
                <w:color w:val="auto"/>
              </w:rPr>
            </w:pPr>
            <w:r>
              <w:rPr>
                <w:rFonts w:ascii="Times New Roman" w:cs="Times New Roman" w:eastAsia="Times New Roman" w:hAnsi="Times New Roman"/>
                <w:sz w:val="16"/>
                <w:szCs w:val="16"/>
                <w:color w:val="auto"/>
              </w:rPr>
              <w:t>0.78</w:t>
            </w:r>
            <w:r>
              <w:rPr>
                <w:rFonts w:ascii="Times New Roman" w:cs="Times New Roman" w:eastAsia="Times New Roman" w:hAnsi="Times New Roman"/>
                <w:sz w:val="29"/>
                <w:szCs w:val="29"/>
                <w:color w:val="auto"/>
                <w:vertAlign w:val="superscript"/>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13,644,371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106,475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2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F-44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45"/>
        </w:trPr>
        <w:tc>
          <w:tcPr>
            <w:tcW w:w="4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4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arising from:</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17,827,953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11,815,345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15,997,795</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events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27,174</w:t>
            </w:r>
          </w:p>
        </w:tc>
      </w:tr>
      <w:tr>
        <w:trPr>
          <w:trHeight w:val="27"/>
        </w:trPr>
        <w:tc>
          <w:tcPr>
            <w:tcW w:w="44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40" w:type="dxa"/>
            <w:vAlign w:val="bottom"/>
            <w:shd w:val="clear" w:color="auto" w:fill="CCEEFF"/>
          </w:tcPr>
          <w:p>
            <w:pPr>
              <w:spacing w:after="0"/>
              <w:rPr>
                <w:sz w:val="21"/>
                <w:szCs w:val="21"/>
                <w:color w:val="auto"/>
              </w:rPr>
            </w:pPr>
          </w:p>
        </w:tc>
        <w:tc>
          <w:tcPr>
            <w:tcW w:w="68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17,898,042</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11,825,444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16,024,969</w:t>
            </w:r>
          </w:p>
        </w:tc>
      </w:tr>
      <w:tr>
        <w:trPr>
          <w:trHeight w:val="21"/>
        </w:trPr>
        <w:tc>
          <w:tcPr>
            <w:tcW w:w="4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Contract assets are mainly recognized for revenue earned from internet leads generation and marketing service income as the receipt of consideration is based on the billing process. Included in contract assets for internet leads generation and marketing service income are unbilled amounts of revenue. Upon completion of the billing of the revenue from contract customers, the amounts recognized as contract assets are reclassified to accounts receivable. The increase in contract assets in 2025 was mainly due to the increase in internet leads generation and marketing service income near the end of the year as compared with year ended December 31, 2024. The decrease in contract assets in 2024 was mainly due to the decrease in internet leads generation and marketing service income near the end of the year as compared with year ended December 31,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timing of recovery or settlement for contract assets as at the end of the reporting period is within one year.</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analysis to measure expected credit losses. The provision rates for the measurement of the expected credit losses of the contract assets are based on those of the accounts receivable as the contract assets and the accounts receivables are from the same customer bases. As at December 31, 2024 and 2023, the loss allowance was assessed by management to be minimal.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inventories (Note)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4,727,860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8,845,219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1,584,918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1,328,372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shd w:val="clear" w:color="auto" w:fill="CCEEFF"/>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6,312,778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10,173,591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classified as non-current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(58,205)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6,254,573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10,148,983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As of December 31, 2025, included in prepayments and inventories are inventories of US$974,788.</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financial assets included in the above balances relate to deposits and other receivables for which there was no recent history of default and past due amount. As at December 31, 2025 and 2024, the loss allowance was assessed to be minimal.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PLEDGED BANK DEPOSITS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19,158,652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23,005,589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12,211,790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19,701,267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31,370,442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42,706,856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Pledged bank deposits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(185,146)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Certain cash at banks earn interest at floating rates based on the respective short-term deposit rates. The bank balances and pledged deposits are deposited with creditworthy banks with no recent history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pledged bank deposits mainly for corporate credit card and trading facilities.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December 31, 2025, cash and cash equivalents included bank deposits of US$38,889 (2024: US$35,260) which are contractually restricted on use in order to meet the capital requirements in accordance with the rules and conditions for the issue and renewal of a license to operate as a non-life insurance broker in Thailand.</w:t>
      </w:r>
    </w:p>
    <w:p>
      <w:pPr>
        <w:spacing w:after="0" w:line="176"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PAYABLE</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are non-interest-bearing and are normally settled on 15 to 60-day terms. Other payable are non-interest-bearing and are normally settled on 30 to 120-day terms.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 liabilities included in accounts and other payable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liabilities arising from:</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907,480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1,256,307</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events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56,428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1,002,317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1,312,735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Contract liabilities include short-term advances received under the contractual arrangements with customers. The decrease in contract liabilities in 2025 and 2024 was mainly due to the decrease in prepayments received from customers in relation to the provision of internet leads generation and marketing services at the end of the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7640" w:hanging="652"/>
        <w:spacing w:after="0" w:line="500" w:lineRule="auto"/>
        <w:tabs>
          <w:tab w:leader="none" w:pos="6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INTEREST-BEARING BORROWINGS </w:t>
      </w:r>
      <w:r>
        <w:rPr>
          <w:rFonts w:ascii="Times New Roman" w:cs="Times New Roman" w:eastAsia="Times New Roman" w:hAnsi="Times New Roman"/>
          <w:sz w:val="18"/>
          <w:szCs w:val="18"/>
          <w:u w:val="single" w:color="auto"/>
          <w:color w:val="auto"/>
        </w:rPr>
        <w:t>Loan notes</w:t>
      </w:r>
    </w:p>
    <w:p>
      <w:pPr>
        <w:spacing w:after="0" w:line="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loan note purchase agreement date October 14, 2022 and the amendment to the agreement dated December 21, 2022, the Group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a 3-year option for the additional subscription of US$5,000,000 loan notes together with the grant of a certain number of the Company’s Class C Warrants (which changed to the grant of a certain number of the Company’s Class A ordinary shares after the Capital Reorganization) upon such subscription with the terms set out in these agreements. Thus, the loan note transaction contains three components: a liability component and two freestanding derivatives in respect of the option for additional subscription of loan notes, and the Class C Warrants issued. The option for additional subscription of US$5,000,000 loan notes was exercised by the option holder on October 12, 2023. All the loan notes were fully settled in cash in October 2023.</w:t>
      </w:r>
    </w:p>
    <w:p>
      <w:pPr>
        <w:sectPr>
          <w:pgSz w:w="11900" w:h="16838" w:orient="portrait"/>
          <w:cols w:equalWidth="0" w:num="1">
            <w:col w:w="11240"/>
          </w:cols>
          <w:pgMar w:left="320" w:top="877" w:right="339" w:bottom="1440" w:gutter="0" w:footer="0" w:header="0"/>
        </w:sectPr>
      </w:pP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of financial liability and derivatives of the loan notes and derivatives issued during the year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notes – liability component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Freestanding derivative - option for additional subscription of loan notes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19685</wp:posOffset>
            </wp:positionV>
            <wp:extent cx="7029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8,745,192</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5,000,000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18,975,635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(32,720,827)</w:t>
      </w:r>
    </w:p>
    <w:p>
      <w:pPr>
        <w:spacing w:after="0" w:line="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19685</wp:posOffset>
            </wp:positionV>
            <wp:extent cx="7029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2,796,131</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9,536,904</w:t>
      </w:r>
    </w:p>
    <w:p>
      <w:pPr>
        <w:spacing w:after="0" w:line="9" w:lineRule="exact"/>
        <w:rPr>
          <w:sz w:val="20"/>
          <w:szCs w:val="20"/>
          <w:color w:val="auto"/>
        </w:rPr>
      </w:pPr>
    </w:p>
    <w:p>
      <w:pPr>
        <w:jc w:val="right"/>
        <w:ind w:right="40"/>
        <w:spacing w:after="0" w:line="339" w:lineRule="auto"/>
        <w:rPr>
          <w:sz w:val="20"/>
          <w:szCs w:val="20"/>
          <w:color w:val="auto"/>
        </w:rPr>
      </w:pPr>
      <w:r>
        <w:rPr>
          <w:rFonts w:ascii="Times New Roman" w:cs="Times New Roman" w:eastAsia="Times New Roman" w:hAnsi="Times New Roman"/>
          <w:sz w:val="18"/>
          <w:szCs w:val="18"/>
          <w:color w:val="auto"/>
        </w:rPr>
        <w:t>(12,333,035)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-53340</wp:posOffset>
            </wp:positionV>
            <wp:extent cx="7029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-27940</wp:posOffset>
            </wp:positionV>
            <wp:extent cx="7029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720"/>
            <w:col w:w="980"/>
          </w:cols>
          <w:pgMar w:left="320" w:top="877" w:right="33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the Group issued 12,040,542 Class A-1 Warrants with an exercise price of US$2.9899 per warrant, 4,013,516 Class A-2 Warrants with an exercise price of US$5.9798 per warrant and 4,013,516 Class A-3 Warrants with an exercise price of US$8.9697 per warrant to shareholders of the Company which entitles the holders to subscribe to a total of 20,067,574 Class A Ordinary Shares of the Company. The exercise prices of these warrants are subject to adjustments upon the occurrence of various adjustment events. The exercise period of these warrants is five years from their date of issuance. Upon the Capital Reorganization, these Class A-1, A-2 and A-3 Warrants were replaced on a one to one basis by new Class A-1, A-2 and A-3 Warrants with the same exercise prices, while each of these new Class A-1, A-2 and A-3 Warrants entitles the holders to subscribe for 0.307212 Class A Ordinary Share of the Company only. The Company’s new Class A-1, A-2 and A-3 Warrants were classified as equity according to their terms. None of these warrants were exercised during the periods presented.</w:t>
      </w:r>
    </w:p>
    <w:p>
      <w:pPr>
        <w:spacing w:after="0" w:line="19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and December 21, 2022, the Group issued an aggregate of 8,349,958 Class C Warrants with an exercise price of US$0.0001 to shareholders, key management personnels and third parties of the Company which entitles the holders to subscribe for 8,349,958 Class C Ordinary Shares of the Company. The exercise price of the warrants are subject to adjustments upon the occurrence of various adjustment events. The exercise period of these warrants is five years from the date of issuance. All Class C Warrants were exercised upon the Capital Reorganization and none were exercised prior to the Capital Reorganization.</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26,282,971 warrants upon the Capital Reorganization to replace the outstanding warrants of Bridgetown one to one, with no change in exercise price and major terms (see note 25). Each warrant entitles the holder to purchase one Class A ordinary share of the Company at an exercise price of US$11.50 per whole share. The warrants are exercisable and will expire five years after October 12, 2023, or earlier upon redemption or liquidation. The public warrants are listed on NASDAQ under the trading symbol “MNYWW” and are measured at fair value.</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of the balance of warrant liabilities during the years ended December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1,388,313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1,839,808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(337,162)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(446,811)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1,051,151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(262,829)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852,821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1,130,168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at December 31, 2025, Public Warrants and Sponsor Warrants with a total carrying amount of approximately US$349,014 (2024:US$430,180) were held by shareholders with significant influence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reinstatement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defined benefit obligations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868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color w:val="auto"/>
              </w:rPr>
              <w:t>Provision for reinstatement costs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71,274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71,872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provision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provision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(30,769)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discounted amounts arising from the passage of time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44,502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71,274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classified as current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has certain leases of office properties with clauses of reinstatement of alteration at the end of these leases. The provision for the reinstatement costs of these office properties was estimated based on reinstatement quotes obtained by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Provision for defined benefit obligations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made provisions for defined benefit obligations in respect of termination benefits and pursuant to applicable labor laws in corresponding jurisdictions. According to the law, employees are entitled to termination benefits upon dismissal or retirement.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liability for termination of employment is measured using the projected unit credit method. The actuarial assumptions include expected salary increases and discount rates. The amounts are presented based on discounted expected future cash flows using a discount rate determined by reference to market yields at the reporting date on government bonds with a term that is consistent with the estimated term of the termination benefit obligation.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for defined benefit obligations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actuarial valuations of the estimated liabilities for employee benefits were carried out by E. M. Zalamea Actuarial Services, Inc. for the Group’s subsidiaries in the Philippines using the projected unit credit actuarial valuation method for the years ended December 31, 2025 and 2024.</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actuarial assumptions used as at the end of the reporting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6.07 - 6.08</w:t>
            </w:r>
          </w:p>
        </w:tc>
        <w:tc>
          <w:tcPr>
            <w:tcW w:w="100" w:type="dxa"/>
            <w:vAlign w:val="bottom"/>
            <w:shd w:val="clear" w:color="auto" w:fill="CCEEFF"/>
          </w:tcPr>
          <w:p>
            <w:pPr>
              <w:spacing w:after="0"/>
              <w:rPr>
                <w:sz w:val="18"/>
                <w:szCs w:val="18"/>
                <w:color w:val="auto"/>
              </w:rPr>
            </w:pP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rate of salary increases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414"/>
        </w:trPr>
        <w:tc>
          <w:tcPr>
            <w:tcW w:w="892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9"/>
              </w:rPr>
              <w:t>A quantitative sensitivity analysis for significant assumptions as at the end of the reporting period is shown below:</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Increase/</w:t>
            </w: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(decrease)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(decrease)</w:t>
            </w: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 defined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defined</w:t>
            </w:r>
          </w:p>
        </w:tc>
      </w:tr>
      <w:tr>
        <w:trPr>
          <w:trHeight w:val="216"/>
        </w:trPr>
        <w:tc>
          <w:tcPr>
            <w:tcW w:w="598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benefit</w:t>
            </w:r>
          </w:p>
        </w:tc>
      </w:tr>
      <w:tr>
        <w:trPr>
          <w:trHeight w:val="229"/>
        </w:trPr>
        <w:tc>
          <w:tcPr>
            <w:tcW w:w="59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rate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r>
      <w:tr>
        <w:trPr>
          <w:trHeight w:val="245"/>
        </w:trPr>
        <w:tc>
          <w:tcPr>
            <w:tcW w:w="6940" w:type="dxa"/>
            <w:vAlign w:val="bottom"/>
            <w:gridSpan w:val="2"/>
          </w:tcPr>
          <w:p>
            <w:pPr>
              <w:jc w:val="center"/>
              <w:ind w:left="60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33,907</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annual salary increases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43,318</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annual salary increases</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(34,214)</w:t>
            </w: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sensitivity analysis estimates the impact on defined benefit obligations from reasonable changes in key assumptions occurring at the end of the reporting period. The sensitivity analysis is based on changing one assumption at a time, keeping all other assumptions constant, and it may not be representative of an actual change in the defined benefit obligations as it is unlikely that changes in assumptions would occur in isolation from one another.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for defined benefit obligations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expenses recognized in the consolidated statements of loss and other comprehensive income/(loss) in respect of the plan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49,109</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benefit expenses recognized in general, administrative and other operating expenses</w:t>
            </w: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movements in the defined benefit obligations classified as non-current liabilities are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185,274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losses/(gains) debited/(credited) to other comprehensive income/(loss) arising from:</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financial assumptions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adjustments</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(19,632)</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11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185,274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F-51</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TAXATION</w:t>
      </w:r>
    </w:p>
    <w:p>
      <w:pPr>
        <w:spacing w:after="0" w:line="225" w:lineRule="exact"/>
        <w:rPr>
          <w:rFonts w:ascii="Times New Roman" w:cs="Times New Roman" w:eastAsia="Times New Roman" w:hAnsi="Times New Roman"/>
          <w:sz w:val="18"/>
          <w:szCs w:val="18"/>
          <w:color w:val="auto"/>
        </w:rPr>
      </w:pPr>
    </w:p>
    <w:p>
      <w:pPr>
        <w:ind w:left="660" w:right="480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movements in deferred tax assets/(liabilities) during the year are as follows: </w:t>
      </w:r>
      <w:r>
        <w:rPr>
          <w:rFonts w:ascii="Times New Roman" w:cs="Times New Roman" w:eastAsia="Times New Roman" w:hAnsi="Times New Roman"/>
          <w:sz w:val="18"/>
          <w:szCs w:val="18"/>
          <w:u w:val="single" w:color="auto"/>
          <w:color w:val="auto"/>
        </w:rPr>
        <w:t>Deferred tax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allowance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defined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excess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related</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Right-of-use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depreciation</w:t>
            </w: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(65,211)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credited to other comprehensive income/(loss)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3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2,762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charged to profit or loss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charged to other comprehensive income/(loss)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0" w:type="dxa"/>
            <w:vAlign w:val="bottom"/>
          </w:tcPr>
          <w:p>
            <w:pPr>
              <w:spacing w:after="0"/>
              <w:rPr>
                <w:sz w:val="1"/>
                <w:szCs w:val="1"/>
                <w:color w:val="auto"/>
              </w:rPr>
            </w:pPr>
          </w:p>
        </w:tc>
      </w:tr>
      <w:tr>
        <w:trPr>
          <w:trHeight w:val="22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 at December 31, 2025</w:t>
            </w:r>
          </w:p>
        </w:tc>
        <w:tc>
          <w:tcPr>
            <w:tcW w:w="11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3"/>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(39,313</w:t>
            </w:r>
          </w:p>
        </w:tc>
        <w:tc>
          <w:tcPr>
            <w:tcW w:w="26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w:t>
            </w:r>
          </w:p>
        </w:tc>
        <w:tc>
          <w:tcPr>
            <w:tcW w:w="2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53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55,008</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65,211</w:t>
            </w:r>
          </w:p>
        </w:tc>
        <w:tc>
          <w:tcPr>
            <w:tcW w:w="0" w:type="dxa"/>
            <w:vAlign w:val="bottom"/>
          </w:tcPr>
          <w:p>
            <w:pPr>
              <w:spacing w:after="0"/>
              <w:rPr>
                <w:sz w:val="1"/>
                <w:szCs w:val="1"/>
                <w:color w:val="auto"/>
              </w:rPr>
            </w:pPr>
          </w:p>
        </w:tc>
      </w:tr>
      <w:tr>
        <w:trPr>
          <w:trHeight w:val="24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Gross deferred tax assets at December 31, 2024 and January 1, 2025</w:t>
            </w: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 at December 31, 2025</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136,235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presentation purposes, certain deferred tax assets and liabilities have been offset in the statements of financial position. The following is an analysis of the deferred tax balances of the Group for financial reporting purposes: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980"/>
        <w:spacing w:after="0" w:line="360" w:lineRule="auto"/>
        <w:rPr>
          <w:sz w:val="20"/>
          <w:szCs w:val="20"/>
          <w:color w:val="auto"/>
        </w:rPr>
      </w:pPr>
      <w:r>
        <w:rPr>
          <w:rFonts w:ascii="Times New Roman" w:cs="Times New Roman" w:eastAsia="Times New Roman" w:hAnsi="Times New Roman"/>
          <w:sz w:val="18"/>
          <w:szCs w:val="18"/>
          <w:color w:val="auto"/>
        </w:rPr>
        <w:t>Net deferred tax assets recognized in the consolidated statement of financial position Net deferred tax liabilities recognized 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7200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5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7029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3">
            <w:col w:w="8340" w:space="720"/>
            <w:col w:w="740" w:space="600"/>
            <w:col w:w="840"/>
          </w:cols>
          <w:pgMar w:left="320" w:top="877" w:right="339"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Movements of share capital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25,280,667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13,254,838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42,002,325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Preference Shares to Class A Ordinary Shares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1,059,245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(1,059,245)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1,593,333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for settlement of long-term employee benefit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At December 31, 2024 and January 1, 2025</w:t>
            </w:r>
          </w:p>
        </w:tc>
        <w:tc>
          <w:tcPr>
            <w:tcW w:w="1120" w:type="dxa"/>
            <w:vAlign w:val="bottom"/>
            <w:tcBorders>
              <w:top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27,963,412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13,254,838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2,407,575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43,625,825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339,572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for settlement upon vesting of restricted share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1,918,785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1,918,785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30,221,769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13,254,838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2,407,575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45,884,182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14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1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104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Old Class A</w:t>
            </w:r>
          </w:p>
        </w:tc>
        <w:tc>
          <w:tcPr>
            <w:tcW w:w="12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Old Class B</w:t>
            </w:r>
          </w:p>
        </w:tc>
        <w:tc>
          <w:tcPr>
            <w:tcW w:w="11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Class C</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4,758,252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Scrip dividend for Preference Shares (note (a))</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142,032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142,032</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Preference Shares to Old Class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Ordinary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449,865</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(449,865)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share-based payment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8,726</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 of Class C</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8,349,958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8,349,958</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and cancellation of Old Class 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 Exchange (note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10,254,474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(1,271,987)</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(632,529)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(8,349,958)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Shares issued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 net assets of Bridgetown (note 25)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10,092,134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14,874,838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24,966,972</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the exercise of call option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loan notes (note (c))</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2,005,460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2,005,460</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issued for settlement of expenses (note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Ordinary shares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1,620,000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(1,620,000)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Preference Shares to Class 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983,599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(983,599)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25,280,667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13,254,838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3,466,820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42,002,325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F-53</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Movements of share capital of the Company:</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Capital Reorganization, the Company declared scrip dividends to holders of the Preference Shares and issued an aggregate of 142,032 Preference Shares. No other dividends were declared to holders of any shares of the Company during the years ended December 31, 2025, 2024 and 2023.</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1, upon closing of the Capital Reorganization, 10,254,474 Class A ordinary shares and 4,450,419 Preference Shares of the Company were exchanged for 33,379,256 ordinary shares of CGCL and 14,486,506 preference shares of CGCL at an exchange ratio of 0.307212.</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executed a deed poll constituting up to US$5,000,000 of fixed rate unsecured loan notes, bearing a paid in kind (“PIK”) interest rate of 25% per annum (together with any PIK notes, the “Call Option Notes”) subscribed by a company controlled by a shareholder with significant influence over the Company (the “Option Holder”). Immediately after the closing of the Capital Reorganization, the Option Holder elected to exercise its call option for subscription of additional loan notes (see note 19) in full pursuant to the call option agreement by and between the Company and the Option Holder, as a result of which it received 2,005,460 Class A Ordinary Shares of the Company for no consideration and subscribed for US$5,000,000 of Call Option Notes in an aggregate principal amount of US$5,000,000. The Company has fully settled the Call Option Notes together with any accrued interest in October, 2023.</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325,000 Class A Ordinary Shares for settlement of professional services rendered by a third party to the Group in lieu of the cash settlement option of US$500,000 during the year ended December 31, 2023 (note 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Details of share capital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Authorized:</w:t>
            </w:r>
          </w:p>
        </w:tc>
        <w:tc>
          <w:tcPr>
            <w:tcW w:w="76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7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440,000,000 Class A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50,000,000</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10,000,000</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Issued and fully paid:</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30,221,769</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27,963,412) Class A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13,254,838</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13,254,838) Class B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2,407,575 (2024: 2,407,575) Preference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class of shares above have a par value of US$0.0001 each.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Details of share capital of the Company:</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right="55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different classes of shares outstanding are as follows: </w:t>
      </w:r>
      <w:r>
        <w:rPr>
          <w:rFonts w:ascii="Times New Roman" w:cs="Times New Roman" w:eastAsia="Times New Roman" w:hAnsi="Times New Roman"/>
          <w:sz w:val="18"/>
          <w:szCs w:val="18"/>
          <w:u w:val="single" w:color="auto"/>
          <w:color w:val="auto"/>
        </w:rPr>
        <w:t>Class A Ordinary Shares</w:t>
      </w:r>
    </w:p>
    <w:p>
      <w:pPr>
        <w:spacing w:after="0" w:line="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A Ordinary Shares are entitled to (i) receive dividends as declared from time to time, (ii) 1 vote per each Class A Ordinary Share at shareholders’ meetings of the Company, and (iii) residual interest upon liquidation of the Company after the holders of convertible Preference Shares, as determined by the liquidator of the Company and sanctioned by ordinary resolution.</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Ordinary Shares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B Ordinary Shares are entitled to (i) receive dividends as declared from time to time, (ii) 10 votes per each Class B Ordinary Share at shareholders’ meetings of the Company, (iii) residual interest upon liquidation of the Company after the holders of convertible Preference Shares, as determined by the liquidator of the Company and sanctioned by ordinary resolution, and (iv) convert their Class B Ordinary Shares into an equal number of Class A Ordinary Shares of the Company at their discretion.</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Preference Shares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Preference Shares are entitled to (i) receive dividends, which are at the discretion of the board of directors of the Company, that such holder would receive had such holder converted all its Preference Shares into the applicable number of Class A Ordinary Shares immediately prior to the record date for the determination of the holders entitled to such dividend or distribution, (ii) vote at shareholders’ meetings of the Company, (iii) capital upon liquidation of the Company before the holders of Class A Ordinary Shares and Class B Ordinary Shares, as determined by the liquidator of the Company and sanctioned by ordinary resolution, and (iv) convert their Preference Shares into Class A Ordinary Shares of the Company at their discretion as determined by dividing (a) the product of (x) the number of Preference Shares elected for conversion by such holder multiplied by (y) US$8.110360 per Preference Share, by (b) US$8.110360 per Class A Ordinary Share, as adjusted in accordance with the Articles in effect immediately prior to such conversion.</w:t>
      </w:r>
    </w:p>
    <w:p>
      <w:pPr>
        <w:spacing w:after="0" w:line="19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Shares are classified as equity since they are non-redeemable and any dividends are discretionary.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2022, the Board of Directors of the Company approved the 2022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“2022 Share Options”). The 2022 Share Options granted typically have a term of ten years and vest over 45 to 48 months based on continued services. Certain of the 2022 Share Options have other vesting conditions relating to the performance of the Group which are non-market performance vesting conditions and are included in the assumptions about the number of equity instruments that are expected to vest. Upon the occurrence of certain triggering events, 50% of the unvested 2022 Share Options will vest, and the remaining 50% will vest on the first anniversary of such event, with certain conditions such as the participants’ continued employment with the Group. Upon the occurrence of such event, the Board of Directors may (in its sole discretion), with respect to any or all of the 2022 Share Options that are outstanding and vested at such time, take certain actions including, and depending on the conditions, (a) to provide for the assumption, substitution or continuation of such vested 2022 Share Options or the adjustment of performance criteria or acceleration of vesting; (b) to cash out the excess of fair market value of the share of the Company to be awarded over the exercise price of the 2022 Share Options; (c) to unilaterally terminate all or any portion of such vested 2022 Share Options for no consideration if the exercise price of the 2022 Share Options equals to or exceeds the fair market value of the share of the Company; or (d) to convert into equity securities of the listing vehicle in applicable cases.</w:t>
      </w:r>
    </w:p>
    <w:p>
      <w:pPr>
        <w:spacing w:after="0" w:line="19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Share Options do not confer rights on the holders to dividends or to vote at shareholders’ meetings.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Capital Reorganization (note 1), all outstanding share options under the 2022 Equity Plan were replaced by share options issued under the Company’s new equity plan (the “MoneyHero Share Options” issued under “MoneyHero Equity Plan”) at an exchange ratio of 0.307212 MoneyHero Share Options for each of the 2022 Share Option. There was no incremental fair value in addition to the original grant-date fair value of original 2022 Share Options to be recognized.</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movements in the number of share options under the 2022 Equity Plan, which was subsequently replaced by the MoneyHero Share Options, held by employees and key management personnel of the Group which were granted in respect of their services rendered to the Group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3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US</w:t>
            </w:r>
            <w:r>
              <w:rPr>
                <w:rFonts w:ascii="Times New Roman" w:cs="Times New Roman" w:eastAsia="Times New Roman" w:hAnsi="Times New Roman"/>
                <w:sz w:val="18"/>
                <w:szCs w:val="18"/>
                <w:b w:val="1"/>
                <w:bCs w:val="1"/>
                <w:color w:val="auto"/>
                <w:w w:val="99"/>
              </w:rPr>
              <w:t>$ per share</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US</w:t>
            </w:r>
            <w:r>
              <w:rPr>
                <w:rFonts w:ascii="Times New Roman" w:cs="Times New Roman" w:eastAsia="Times New Roman" w:hAnsi="Times New Roman"/>
                <w:sz w:val="18"/>
                <w:szCs w:val="18"/>
                <w:b w:val="1"/>
                <w:bCs w:val="1"/>
                <w:color w:val="auto"/>
                <w:w w:val="99"/>
              </w:rPr>
              <w:t>$ per share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2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0.0001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3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3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(647,602)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3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(339,572)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(1,593,333)</w:t>
            </w:r>
          </w:p>
        </w:tc>
        <w:tc>
          <w:tcPr>
            <w:tcW w:w="0" w:type="dxa"/>
            <w:vAlign w:val="bottom"/>
          </w:tcPr>
          <w:p>
            <w:pPr>
              <w:spacing w:after="0"/>
              <w:rPr>
                <w:sz w:val="1"/>
                <w:szCs w:val="1"/>
                <w:color w:val="auto"/>
              </w:rPr>
            </w:pPr>
          </w:p>
        </w:tc>
      </w:tr>
      <w:tr>
        <w:trPr>
          <w:trHeight w:val="27"/>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2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shd w:val="clear" w:color="auto" w:fill="CCEEFF"/>
          </w:tcPr>
          <w:p>
            <w:pPr>
              <w:spacing w:after="0"/>
              <w:rPr>
                <w:sz w:val="21"/>
                <w:szCs w:val="21"/>
                <w:color w:val="auto"/>
              </w:rPr>
            </w:pPr>
          </w:p>
        </w:tc>
        <w:tc>
          <w:tcPr>
            <w:tcW w:w="3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350,483</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690,055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66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date of exercise for share options exercised during the year ended December 31, 2025 was US$1.16 per share (2024: US$1.21 per share).</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and the remaining contractual life of the MoneyHero Share Options held by employees and key management personnel of the Group outstanding as at the end of the reporting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 Option</w:t>
            </w: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exercisable at</w:t>
            </w:r>
          </w:p>
        </w:tc>
      </w:tr>
      <w:tr>
        <w:trPr>
          <w:trHeight w:val="216"/>
        </w:trPr>
        <w:tc>
          <w:tcPr>
            <w:tcW w:w="73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end of</w:t>
            </w:r>
          </w:p>
        </w:tc>
      </w:tr>
      <w:tr>
        <w:trPr>
          <w:trHeight w:val="216"/>
        </w:trPr>
        <w:tc>
          <w:tcPr>
            <w:tcW w:w="732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reporting</w:t>
            </w:r>
          </w:p>
        </w:tc>
      </w:tr>
      <w:tr>
        <w:trPr>
          <w:trHeight w:val="245"/>
        </w:trPr>
        <w:tc>
          <w:tcPr>
            <w:tcW w:w="732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per 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7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2025</w:t>
            </w:r>
          </w:p>
        </w:tc>
        <w:tc>
          <w:tcPr>
            <w:tcW w:w="1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 – 7.15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350,483</w:t>
            </w:r>
          </w:p>
        </w:tc>
      </w:tr>
      <w:tr>
        <w:trPr>
          <w:trHeight w:val="234"/>
        </w:trPr>
        <w:tc>
          <w:tcPr>
            <w:tcW w:w="7320" w:type="dxa"/>
            <w:vAlign w:val="bottom"/>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2024</w:t>
            </w:r>
          </w:p>
        </w:tc>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8 – 8.15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690,055</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values of MoneyHero Share Options granted during the year ended December 31, 2024 were estimated as at the date of grant using a binomial model, taking into account the terms and conditions upon which the options were granted. The following table lists the inputs to the model used: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rate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multiples (%)</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 (US$ per share)</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values of 2022 Share Options granted during the year ended December 31, 2023 before the Capital Reorganization were estimated as at the date of grant using a binomial model, taking into account the terms and conditions upon which the options were granted. The following table lists the inputs to the model used: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3.49 - 3.87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rate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multiples (%)</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220 - 280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60 - 62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 (US$ per share)</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0.43 - 1.82</w:t>
            </w:r>
          </w:p>
        </w:tc>
      </w:tr>
      <w:tr>
        <w:trPr>
          <w:trHeight w:val="655"/>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jc w:val="right"/>
              <w:ind w:right="5350"/>
              <w:spacing w:after="0"/>
              <w:rPr>
                <w:sz w:val="20"/>
                <w:szCs w:val="20"/>
                <w:color w:val="auto"/>
              </w:rPr>
            </w:pPr>
            <w:r>
              <w:rPr>
                <w:rFonts w:ascii="Times New Roman" w:cs="Times New Roman" w:eastAsia="Times New Roman" w:hAnsi="Times New Roman"/>
                <w:sz w:val="18"/>
                <w:szCs w:val="18"/>
                <w:color w:val="auto"/>
              </w:rPr>
              <w:t>F-57</w:t>
            </w:r>
          </w:p>
        </w:tc>
      </w:tr>
    </w:tbl>
    <w:p>
      <w:pPr>
        <w:sectPr>
          <w:pgSz w:w="11900" w:h="16838" w:orient="portrait"/>
          <w:cols w:equalWidth="0" w:num="1">
            <w:col w:w="11240"/>
          </w:cols>
          <w:pgMar w:left="320" w:top="87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estimated the expected volatility based on the historical volatility of similar companies that are publicly-traded given the Company has been a private company that lacks information on share price volatility before the Capital Reorganization.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had not historically declared or paid dividends nor does it plan to do so in the foreseeable future. The Company also estimated the risk-free interest rates based the yield of U.S. Treasury Strips with maturity life equal to the contractual lives of the options of 10 years. The estimated fair value of the ordinary shares, at the option grant dates, was determined with the assistance from an independent third-party appraiser.</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restricted share scheme – MoneyHero Equity Plan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established a Restricted Share Units Scheme (“RSU Scheme”) with the intention of granting restricted share units (“RSU”) to selected employees and certain new joiners. The purpose of this scheme is to acknowledge, reward employee contributions and attract new talents, while also providing incentives to enhance the Group’s performance and maximize value for the benefit of both the Group and its shareholders.</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granted under RSU Scheme are Class A ordinary shares, and they are issued without a subscription price. The RSUs are subject to vesting restrictions determined by the employee’s grade and position, as follows: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 upon date of grant;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of the RSUs vest upon the date of grant, followed by 33.3% vest on first anniversary from the date of grant, and 33.4% vest on second anniversary from the date of grant;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of the RSUs vest on the first anniversary from the date of employment, followed by 33.3% vest on second anniversary from the date of employment, and 33.4% vest on third anniversary from the date of employment.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Group estimated that approximately 2,076,000 RSUs will be granted to certain employees and new joiners under the RSU Scheme based on an announcement from the CEO to the employees and board approval of the RSU Scheme in October 2024. As the employees has begun rendering the service before the grant date, an estimated cost of the services is recognized in advance of the grant date in February 2025 when the precise terms and conditions of the RSU Scheme are finalized. The estimated fair values of the awarded shares underlying the RSUs are at a range of US$0.7203 to US$1.025 per share based on the market trading price of the share at the grant date.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US$1,288,714 (2024: US$1,195,000) of equity-settled share-based payment expense relate to RSUs was charged to the profit or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Equity-settled Transactions – Others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November 6, 2023, the Company allotted and issued 325,000 Class A Ordinary Shares of the Company of US$0.0001 each for the settlement to a third party for its professional services rendered. The Company measured the fair value of services received at the market price of the services, which was $500,000 and charged to profit or loss for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REORGANIZATION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1, the Capital Reorganization has been accounted for with reference to the principles of reverse acquisitions as if CGCL is the accounting acquirer and Bridgetown is accounting acquiree. Accordingly, except for the capital structure, these financial statements have been presented as a continuation of the consolidated financial information of CGCL with:</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CGCL Group recognized and measured at their carrying amounts immediately prior to the Capital Reorganization;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losses and other equity balances of CGCL Group recognized at their carrying amounts immediately prior to the Capital Reorganization; and the financial information for periods prior to the Capital Reorganization being that of CGCL Group.</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Bridgetown, the accounting acquiree, does not meet the definition of a business for the purposes of IFRS 3, the Capital Reorganization is determined to be an acquisition of the net assets of Bridgetown together with an equity-settled share-based payment which is regarded as an issuance of the Company’s ordinary shares in exchange for a stock exchange listing service. The stock exchange listing service has been recorded in profit or loss and measured as the excess of fair value of the Company’s ordinary shares issued to acquire Bridgetown over the fair value of Bridgetown’s identifiable net assets acquired, with the amount expensed as incurred: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The fair value of Bridgetown’s identifiable net assets acquired comprising: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held in Trust Account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91,466,681</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Warrant liabilities (note a)</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(4,993,764)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86,519,700</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consideration comprising</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10,092,134 Company’s Class A ordinary shares (note 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62,066,624</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14,874,838 Company’s Class B ordinary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91,480,254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Fair value of consideration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153,546,878</w:t>
            </w:r>
          </w:p>
        </w:tc>
        <w:tc>
          <w:tcPr>
            <w:tcW w:w="100" w:type="dxa"/>
            <w:vAlign w:val="bottom"/>
            <w:tcBorders>
              <w:top w:val="single" w:sz="8" w:color="CCEEFF"/>
            </w:tcBorders>
          </w:tcPr>
          <w:p>
            <w:pPr>
              <w:spacing w:after="0"/>
              <w:rPr>
                <w:sz w:val="17"/>
                <w:szCs w:val="17"/>
                <w:color w:val="auto"/>
              </w:rPr>
            </w:pPr>
          </w:p>
        </w:tc>
      </w:tr>
      <w:tr>
        <w:trPr>
          <w:trHeight w:val="26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payment on listing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67,027,178</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liabilities acquired include those in relation to the warrants issued by Bridgetown to Bridgetown’s public investors (Public Warrants) and Bridgetown LLC, the sponsor (Sponsor Warrants). The holders of Bridgetown’s warrants (including public investors and the sponsor) received one warrant of the Company for each Bridgetown’s warrant, resulting in the issuance of 26,282,971 warrants by the Company upon the Capital Reorganization (see note 20).</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Initial Merger, the Company, Bridgetown, Bridgetown’s sponsor and CGCL entered into a working capital loan capitalization agreement (the “Working Capital Loan Capitalization Agreement”). Included in the 10,092,134 Class A Ordinary Shares of the Company issued to Bridgetown’s sponsor were 451,839 shares issued pursuant to the Working Capital Loan Capitalization Agreement to settle an aggregate of US$4,518,390 of working capital loans from Bridgetown’s sponsors to Bridgetown.</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Professional services fee of US$6,643,367 were incurred to facilitate the listing on NASDAQ via the Capital Reorganization and recognized as administrative and other operating expenses in profit or loss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the Group’s reserves and the movements therein for the current and prior years are presented in the consolidated statement of changes in equity on pages F-7 and F-9 of the financial statements.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warrant and other reserves mainly represented certain adjustments to equity arising from the Capital Reorganization (note 25), and outstanding Class A Warrants classified as equity measured at fair value upon initial recognition and not subsequently remeasured.</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December 31, 2025, Class A Warrants with a carrying amount of approximately US$3,085,077 (2024: $3,085,077) were held by a shareholder with significant influence over the Company and key management personnel of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LIABILITIES FROM FINANCING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735,550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(724,633)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(53,629)</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New leases and remeasurement of lease modifications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905,949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accrued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53,629</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941,964</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606,061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(721,892)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(23,700)</w:t>
            </w:r>
          </w:p>
        </w:tc>
      </w:tr>
    </w:tbl>
    <w:p>
      <w:pPr>
        <w:spacing w:after="0" w:line="196"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 of lease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Finance costs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realignment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866,795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23,700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(15,414)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43180</wp:posOffset>
            </wp:positionV>
            <wp:extent cx="7029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20" w:space="720"/>
            <w:col w:w="700"/>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LIABILITIES ARISING FROM FINANCING ACTIVITIES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 notes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8,745,192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(27,720,827)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(730,908)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leases and remeasurement of lease modifications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accrued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18,975,635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48,363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years ended December 31, 2025,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costs on loan 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Key management personnel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Companies controlled by a shareholder with significant influence over the Company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15,013,576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earned from companies controlled by a shareholder with significant influence over the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Insurance commission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643,917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1,077,441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695,088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Marketing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81,331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paid to companies controlled by a shareholder with significant influence over the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716,375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251,140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F-61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RISK MANAGEMENT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objectives of the Group’s capital management are to safeguard the Group’s ability to continue as a going concern and to maintain healthy capital ratios in order to support its business and maximize shareholders’ value. The overall strategy remains unchanged from prior year.</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manages its capital structure and makes adjustments to it in light of changes in economic conditions and the risk characteristics of the underlying assets. To maintain or adjust the capital structure, the Group may return capital to shareholders or issue new shares.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Categories of financial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 designated at fair value through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assets at amortized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50,811,553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56,884,196</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51,355,553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57,484,196</w:t>
            </w:r>
          </w:p>
        </w:tc>
        <w:tc>
          <w:tcPr>
            <w:tcW w:w="0" w:type="dxa"/>
            <w:vAlign w:val="bottom"/>
          </w:tcPr>
          <w:p>
            <w:pPr>
              <w:spacing w:after="0"/>
              <w:rPr>
                <w:sz w:val="1"/>
                <w:szCs w:val="1"/>
                <w:color w:val="auto"/>
              </w:rPr>
            </w:pP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8020" w:type="dxa"/>
            <w:vAlign w:val="bottom"/>
            <w:gridSpan w:val="3"/>
            <w:vMerge w:val="continue"/>
          </w:tcPr>
          <w:p>
            <w:pPr>
              <w:spacing w:after="0"/>
              <w:rPr>
                <w:sz w:val="24"/>
                <w:szCs w:val="24"/>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4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1,392,997</w:t>
            </w:r>
          </w:p>
        </w:tc>
        <w:tc>
          <w:tcPr>
            <w:tcW w:w="0" w:type="dxa"/>
            <w:vAlign w:val="bottom"/>
          </w:tcPr>
          <w:p>
            <w:pPr>
              <w:spacing w:after="0"/>
              <w:rPr>
                <w:sz w:val="1"/>
                <w:szCs w:val="1"/>
                <w:color w:val="auto"/>
              </w:rPr>
            </w:pPr>
          </w:p>
        </w:tc>
      </w:tr>
      <w:tr>
        <w:trPr>
          <w:trHeight w:val="229"/>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liabilities at amortized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31,985,951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27,403,211</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33,116,119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28,796,208</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Financial risk management objectives and policies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Group’s financial instruments include non-current financial asset, accounts receivables, deposits, pledged bank deposits, cash and cash equivalents, accounts and other payable, warrant liabilities and lease liabilities.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Details of these financial instruments are disclosed in the respective notes. The risks associated with these financial instruments include market risks (currency risk), credit risk and liquidity risk. The policies on how to mitigate these risks are set out below. The management manages and monitors these exposures to ensure appropriate measures are implemented on a timely and effective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operates across Asia and is exposed to foreign exchange risk arising from foreign currency transactions. The Group’s operating units may have financial instruments denominated in currencies other than their respective functional currencies. They are therefore exposed to foreign currency risk, as the value of the financial instruments denominated in other currencies will fluctuate due to changes in exchange rates. The Group does not hedge foreign currency exposures.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senior management monitors and manages the Group’s foreign currency risk exposure position on an ongoing basis, and considers hedging significant foreign currency exposure should the need arise.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Sensitivity analysis</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demonstrates the sensitivity at the end of the reporting period to a 3% change in the Singapore dollar (“SGD”), Taiwan dollar (“TWD”), Malaysian Ringgit (“MYR”), Philippines Peso (“PHP”), Thailand baht (“THB”) and Indonesian Rupiah (“IDR”) exchange rates, with all other variables held constant, of the Group’s loss before tax. These rates are the sensitivity rates used when reporting foreign currency risk internally to key management personnel and represents management’s assessment of the reasonably possible change in foreign exchange rates. The sensitivity analysis includes only outstanding foreign currency denominated monetary items (including intragroup balances) and adjusts their translation at the year end for a change in foreign currency rates. As HK$ is pegged to US$, the directors of the Company anticipate that there will be no significant movements in the US$/HK$ exchange rates and the exposure on US$ will not be material.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4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22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1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(decrease)</w:t>
            </w:r>
          </w:p>
        </w:tc>
      </w:tr>
      <w:tr>
        <w:trPr>
          <w:trHeight w:val="230"/>
        </w:trPr>
        <w:tc>
          <w:tcPr>
            <w:tcW w:w="29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foreign</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loss</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foreign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loss</w:t>
            </w:r>
          </w:p>
        </w:tc>
      </w:tr>
      <w:tr>
        <w:trPr>
          <w:trHeight w:val="245"/>
        </w:trPr>
        <w:tc>
          <w:tcPr>
            <w:tcW w:w="29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exchange rate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after tax</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exchange rate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 tax</w:t>
            </w:r>
          </w:p>
        </w:tc>
      </w:tr>
      <w:tr>
        <w:trPr>
          <w:trHeight w:val="216"/>
        </w:trPr>
        <w:tc>
          <w:tcPr>
            <w:tcW w:w="2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(3,286,806)</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(1,527,154)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3,286,806</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1,527,154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(525,420)</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(500,404)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525,420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500,404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MYR</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(409,381)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(196,365)</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409,381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196,365</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PHP</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(614,130)</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(635,994)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614,130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635,994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THB</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(331,282)</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(328,388)</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331,282</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328,388</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IDR</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(182,744)</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(183,444)</w:t>
            </w:r>
          </w:p>
        </w:tc>
      </w:tr>
      <w:tr>
        <w:trPr>
          <w:trHeight w:val="234"/>
        </w:trPr>
        <w:tc>
          <w:tcPr>
            <w:tcW w:w="2940" w:type="dxa"/>
            <w:vAlign w:val="bottom"/>
          </w:tcPr>
          <w:p>
            <w:pPr>
              <w:spacing w:after="0"/>
              <w:rPr>
                <w:sz w:val="20"/>
                <w:szCs w:val="20"/>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182,744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183,444</w:t>
            </w:r>
          </w:p>
        </w:tc>
      </w:tr>
      <w:tr>
        <w:trPr>
          <w:trHeight w:val="637"/>
        </w:trPr>
        <w:tc>
          <w:tcPr>
            <w:tcW w:w="29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8"/>
                <w:szCs w:val="18"/>
                <w:color w:val="auto"/>
              </w:rPr>
              <w:t>F-63</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trades mainly with recognized and creditworthy third parties. Customers who wish to trade on credit terms are normally subject to credit verification procedures. In addition, receivable balances are monitored on an ongoing basis.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exposure and year-end staging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show the credit quality and the maximum exposure to credit risk based on the Group’s credit policy, which is mainly based on past due information unless other information is available without undue cost or effort, and year-end staging classification as at December 31. The amounts presented are gross carrying amounts for financial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12-month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ECLs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Lifetime ECLs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Simplified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Stage 1</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Stage 2</w:t>
            </w:r>
          </w:p>
        </w:tc>
        <w:tc>
          <w:tcPr>
            <w:tcW w:w="1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Stage 3</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approach</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42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18,864,241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17,898,042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included in deposits and other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Normal**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695,539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695,539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185,146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185,146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31,185,296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31,185,296</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32,065,981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36,762,283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68,828,264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13,644,371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13,644,371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11,825,444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11,825,444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included in deposits and other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Normal**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639,444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639,444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185,336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42,521,520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43,346,300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25,469,815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68,816,115</w:t>
            </w:r>
          </w:p>
        </w:tc>
        <w:tc>
          <w:tcPr>
            <w:tcW w:w="0" w:type="dxa"/>
            <w:vAlign w:val="bottom"/>
          </w:tcPr>
          <w:p>
            <w:pPr>
              <w:spacing w:after="0"/>
              <w:rPr>
                <w:sz w:val="1"/>
                <w:szCs w:val="1"/>
                <w:color w:val="auto"/>
              </w:rPr>
            </w:pP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accounts receivable and contract assets to which the Group applies the simplified approach for impairment, information is disclosed in notes 14 and 15 to the financial statements.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financial assets included in deposits and other receivables is considered to be “normal” when it is not past due and there is no information indicating that the financials had a significant increase in credit risk since initial recognition. Otherwise, the credit quality of the financial assets is considered to be “doubtful”.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rFonts w:ascii="Times New Roman" w:cs="Times New Roman" w:eastAsia="Times New Roman" w:hAnsi="Times New Roman"/>
          <w:sz w:val="18"/>
          <w:szCs w:val="18"/>
          <w:color w:val="auto"/>
        </w:rPr>
      </w:pPr>
    </w:p>
    <w:p>
      <w:pPr>
        <w:jc w:val="both"/>
        <w:ind w:left="6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the management of the liquidity risk, the Group monitors and maintains a level of cash and cash equivalents as well as undrawn banking facilities deemed adequate by the directors of the Company to finance the Group’s operations and mitigate the effects of fluctuations in cash flows.</w:t>
      </w:r>
    </w:p>
    <w:p>
      <w:pPr>
        <w:spacing w:after="0" w:line="3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Group’s remaining contractual maturity for its financial liabilities. The tables have been drawn up based on the undiscounted cashflows of financial liabilities based on the earliest date on which the Group can be required to pay. The table includes both interest and principal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1 - 5</w:t>
            </w: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Undiscounted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flows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31,985,951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31,985,951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31,985,951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735,426</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988,084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941,964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32,721,377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32,974,035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32,927,915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1 - 5</w:t>
            </w: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Undiscounted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flows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27,403,211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27,403,211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27,403,211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304,338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774,268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735,550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27,873,141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28,177,479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28,438,761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rPr>
              <w:t>F-65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AND FAIR VALUE HIERARCHY OF FINANCIAL INSTRUMENTS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management is responsible for determining the policies and procedures for the fair value measurement of financial instruments. At each reporting date, management analyzes the movements in the values of financial instruments and determines the major inputs applied in the valuation. The valuation is reviewed and approved by management.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 financial instrument is the amount at which the instrument could be exchanged in a current transaction between willing parties, other than in a forced or liquidation sale.</w:t>
      </w:r>
    </w:p>
    <w:p>
      <w:pPr>
        <w:spacing w:after="0" w:line="16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assessed that the carrying amounts of financial assets included in accounts receivable, financial assets included in deposits and other receivables, cash and cash equivalents, pledged bank deposits, financial liabilities included in accounts and other payable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non-performance risk for interest-bearing borrowings and lease liabilities as at December 31, 2025 and 2024 were assessed to be insignificant.</w:t>
      </w:r>
    </w:p>
    <w:p>
      <w:pPr>
        <w:spacing w:after="0" w:line="19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liabilities are initially recognized at fair value and are subsequently remeasured at fair value at the end of each reporting period. As of December 31, 2025 Public Warrants and Sponsor Warrant issued that are accounted for as a derivative financial liability and measured at fair value at each reporting date Level 1 and Level 2 Instrument respectively.</w:t>
      </w:r>
    </w:p>
    <w:p>
      <w:pPr>
        <w:spacing w:after="0" w:line="17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non-current financial asset represents an unlisted equity investment designated at fair value through other comprehensive income have been estimated using a market-based valuation technique based on inputs that are not observable market prices or rates. The valuation requires the management to determine comparable companies (peers) based on industry, size, leverage and strategy, and to calculate the enterprise value to sales (“EV/S”) multiple for each comparable company identified. The multiple is calculated by dividing the enterprise value of the comparable company by a sales measure. The trading multiple is then discounted for considerations such as illiquidity. The discounted multiple is applied to the corresponding sales measure of the unlisted equity investments to measure the equity value. The value of the unlisted equity investment is further derived from by option pricing model (OPM) based on calculated equity value. Management believes that the estimated fair value resulting from the valuation techniques, which are recorded in the consolidated statement of financial position, and the related changes in fair value, which are recorded in other comprehensive income, are reasonable, and that they were the most appropriate values at the end of the reporting period. The carrying amount and the estimated fair value of the non-current financial asset are US$544,000 and US$600,000, respectively as of December 31, 2025 and 2024.</w:t>
      </w:r>
    </w:p>
    <w:p>
      <w:pPr>
        <w:spacing w:after="0" w:line="19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fair value of the unlisted equity investments at fair value through other comprehensive income, management has estimated the potential effect of using reasonably possible alternatives as inputs to the valuation model.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AND FAIR VALUE HIERARCHY OF FINANCIAL INSTRUMENTS (continued)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summary of significant unobservable inputs to the non-current financial asset together with a quantitative sensitivity analysis as at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Relationship of</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significant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Valuation</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32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Sensitivity of fair</w:t>
            </w:r>
          </w:p>
        </w:tc>
        <w:tc>
          <w:tcPr>
            <w:tcW w:w="480" w:type="dxa"/>
            <w:vAlign w:val="bottom"/>
          </w:tcPr>
          <w:p>
            <w:pPr>
              <w:spacing w:after="0"/>
              <w:rPr>
                <w:sz w:val="18"/>
                <w:szCs w:val="18"/>
                <w:color w:val="auto"/>
              </w:rPr>
            </w:pPr>
          </w:p>
        </w:tc>
      </w:tr>
      <w:tr>
        <w:trPr>
          <w:trHeight w:val="241"/>
        </w:trPr>
        <w:tc>
          <w:tcPr>
            <w:tcW w:w="2380" w:type="dxa"/>
            <w:vAlign w:val="bottom"/>
          </w:tcPr>
          <w:p>
            <w:pPr>
              <w:spacing w:after="0"/>
              <w:rPr>
                <w:sz w:val="20"/>
                <w:szCs w:val="20"/>
                <w:color w:val="auto"/>
              </w:rPr>
            </w:pP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technique</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 to fair value</w:t>
            </w:r>
          </w:p>
        </w:tc>
        <w:tc>
          <w:tcPr>
            <w:tcW w:w="320" w:type="dxa"/>
            <w:vAlign w:val="bottom"/>
          </w:tcPr>
          <w:p>
            <w:pPr>
              <w:spacing w:after="0"/>
              <w:rPr>
                <w:sz w:val="20"/>
                <w:szCs w:val="20"/>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value to the input</w:t>
            </w:r>
          </w:p>
        </w:tc>
        <w:tc>
          <w:tcPr>
            <w:tcW w:w="480" w:type="dxa"/>
            <w:vAlign w:val="bottom"/>
          </w:tcPr>
          <w:p>
            <w:pPr>
              <w:spacing w:after="0"/>
              <w:rPr>
                <w:sz w:val="20"/>
                <w:szCs w:val="20"/>
                <w:color w:val="auto"/>
              </w:rPr>
            </w:pPr>
          </w:p>
        </w:tc>
      </w:tr>
      <w:tr>
        <w:trPr>
          <w:trHeight w:val="198"/>
        </w:trPr>
        <w:tc>
          <w:tcPr>
            <w:tcW w:w="2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Unlisted equity investments</w:t>
            </w:r>
          </w:p>
        </w:tc>
        <w:tc>
          <w:tcPr>
            <w:tcW w:w="1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Valuation multiples</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EV/S multiple of</w:t>
            </w:r>
          </w:p>
        </w:tc>
        <w:tc>
          <w:tcPr>
            <w:tcW w:w="2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significant increase in</w:t>
            </w:r>
          </w:p>
        </w:tc>
        <w:tc>
          <w:tcPr>
            <w:tcW w:w="2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10%  increase  of  average</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peers</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EV/S multiple of</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EV/S would result in increase</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3.82x (2024: 4.82x)</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peers would result in a</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fair value of non-current</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increase in fair</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 by US$36,418</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vice versa</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US$45,797) and a 10%</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EV/S</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would result in decrease in fair</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non-current financial</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by  US$39,998  (2024:</w:t>
            </w:r>
          </w:p>
        </w:tc>
      </w:tr>
      <w:tr>
        <w:trPr>
          <w:trHeight w:val="234"/>
        </w:trPr>
        <w:tc>
          <w:tcPr>
            <w:tcW w:w="23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US$45,797).</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198"/>
        </w:trPr>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Volatility</w:t>
            </w: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 significant increase in</w:t>
            </w:r>
          </w:p>
        </w:tc>
        <w:tc>
          <w:tcPr>
            <w:tcW w:w="22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A 10% increase in volatility</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2025: 36% (2024: 50%)</w:t>
            </w: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would result in a</w:t>
            </w: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would result in decrease in fair</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decrease in fair</w:t>
            </w: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value of non-current financial</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and vice versa</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  by  US$6,240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(2024:</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US$6,060)   and   a   10%</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would</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 in increase in fair value</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non-current financial asset</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US$5,666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(2024:</w:t>
            </w:r>
          </w:p>
        </w:tc>
      </w:tr>
      <w:tr>
        <w:trPr>
          <w:trHeight w:val="234"/>
        </w:trPr>
        <w:tc>
          <w:tcPr>
            <w:tcW w:w="2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US$6,060).</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color w:val="auto"/>
              </w:rPr>
              <w:t>F-67</w:t>
            </w: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ATTRIBUTABLE TO ORDINARY EQUITY HOLDERS OF THE COMPANY</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basic loss per share amounts is based on the loss for the year attributable to ordinary equity holders, and the weighted average number of ordinary shares in issue during the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14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6"/>
                <w:szCs w:val="16"/>
                <w:color w:val="auto"/>
              </w:rPr>
            </w:pPr>
          </w:p>
        </w:tc>
        <w:tc>
          <w:tcPr>
            <w:tcW w:w="110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176"/>
        </w:trPr>
        <w:tc>
          <w:tcPr>
            <w:tcW w:w="732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basic and diluted loss per share attributable to the ordinary equity holders of the Company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32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4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the equity shareholders of the Company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5,178,975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37,787,339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172,600,513</w:t>
            </w: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Number of shares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42,810,568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40,404,943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9,632,562</w:t>
            </w: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stated in Note 23, Class B ordinary share can be converted into an equal number of Class A ordinary share. The computation of basic and diluted loss per share is the same as the basic and diluted loss per Class A and Class B ordinary shares in aggregate since these two classes have the same rights to participate in profits and losses and are all treated as same class and number of ordinary share on an as converted basis.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following warrants, preference shares and outstanding share option were excluded from the calculation of diluted loss per share, as their inclusion would have been anti-dilutive for the period prescribed: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80" w:type="dxa"/>
            <w:vAlign w:val="bottom"/>
            <w:tcBorders>
              <w:top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2,407,575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3,466,820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46,350,545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46,350,545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46,350,545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350,483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2,879,571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FINANCIAL STATEMENTS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were approved and authorized for issue by the board of directors on April 30, 2026. There have been no significant events since December 31, 2025 that would have a material effect on the financial position of the Group as of that date or on its result for the year then 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10280"/>
        <w:spacing w:after="0"/>
        <w:rPr>
          <w:sz w:val="20"/>
          <w:szCs w:val="20"/>
          <w:color w:val="auto"/>
        </w:rPr>
      </w:pPr>
      <w:r>
        <w:rPr>
          <w:rFonts w:ascii="Times New Roman" w:cs="Times New Roman" w:eastAsia="Times New Roman" w:hAnsi="Times New Roman"/>
          <w:sz w:val="21"/>
          <w:szCs w:val="21"/>
          <w:b w:val="1"/>
          <w:bCs w:val="1"/>
          <w:color w:val="auto"/>
        </w:rPr>
        <w:t>Exhibit 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Danny Leung,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MoneyHero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Danny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Danny Leung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 and Chief Financial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13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MoneyHero Limited (the “Company”) on Form 20-F for the fiscal year ended December 31, 2025 as filed with the Securities and Exchange Commission on the date hereof (the “Report”), I, Danny Leung, Interim Chief Executive Officer and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Danny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Danny Leung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 and Chief Financial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333-276214 on Form S-8 of our report dated April 30, 2026, relating to the consolidated financial statements of MoneyHero Limited, appearing in this Annual Report on Form 20-F/A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333-276214) pertaining to the 2023 Equity Incentive Plan of MoneyHero Limited of our report dated May 6, 2025, with respect to the consolidated financial statements of MoneyHero Limited, included in this Annual Report (Form 20-F/A)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lvl w:ilvl="1">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lvl w:ilvl="1">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1"/>
      <w:numFmt w:val="bullet"/>
      <w:start w:val="1"/>
    </w:lvl>
  </w:abstractNum>
  <w:abstractNum w:abstractNumId="9">
    <w:nsid w:val="2D517796"/>
    <w:multiLevelType w:val="hybridMultilevel"/>
    <w:lvl w:ilvl="0">
      <w:lvlJc w:val="left"/>
      <w:lvlText w:val="2"/>
      <w:numFmt w:val="bullet"/>
      <w:start w:val="1"/>
    </w:lvl>
  </w:abstractNum>
  <w:abstractNum w:abstractNumId="10">
    <w:nsid w:val="580BD78F"/>
    <w:multiLevelType w:val="hybridMultilevel"/>
    <w:lvl w:ilvl="0">
      <w:lvlJc w:val="left"/>
      <w:lvlText w:val="3"/>
      <w:numFmt w:val="bullet"/>
      <w:start w:val="1"/>
    </w:lvl>
  </w:abstractNum>
  <w:abstractNum w:abstractNumId="11">
    <w:nsid w:val="153EA438"/>
    <w:multiLevelType w:val="hybridMultilevel"/>
    <w:lvl w:ilvl="0">
      <w:lvlJc w:val="left"/>
      <w:lvlText w:val="(%1)"/>
      <w:numFmt w:val="lowerLetter"/>
      <w:start w:val="1"/>
    </w:lvl>
    <w:lvl w:ilvl="1">
      <w:lvlJc w:val="left"/>
      <w:lvlText w:val="(%2)"/>
      <w:numFmt w:val="lowerRoman"/>
      <w:start w:val="1"/>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3"/>
    </w:lvl>
  </w:abstractNum>
  <w:abstractNum w:abstractNumId="20">
    <w:nsid w:val="7A6D8D3C"/>
    <w:multiLevelType w:val="hybridMultilevel"/>
    <w:lvl w:ilvl="0">
      <w:lvlJc w:val="left"/>
      <w:lvlText w:val="%1."/>
      <w:numFmt w:val="decimal"/>
      <w:start w:val="4"/>
    </w:lvl>
  </w:abstractNum>
  <w:abstractNum w:abstractNumId="21">
    <w:nsid w:val="4B588F54"/>
    <w:multiLevelType w:val="hybridMultilevel"/>
    <w:lvl w:ilvl="0">
      <w:lvlJc w:val="left"/>
      <w:lvlText w:val="%1."/>
      <w:numFmt w:val="decimal"/>
      <w:start w:val="4"/>
    </w:lvl>
  </w:abstractNum>
  <w:abstractNum w:abstractNumId="22">
    <w:nsid w:val="542289EC"/>
    <w:multiLevelType w:val="hybridMultilevel"/>
    <w:lvl w:ilvl="0">
      <w:lvlJc w:val="left"/>
      <w:lvlText w:val="%1."/>
      <w:numFmt w:val="decimal"/>
      <w:start w:val="4"/>
    </w:lvl>
  </w:abstractNum>
  <w:abstractNum w:abstractNumId="23">
    <w:nsid w:val="6DE91B18"/>
    <w:multiLevelType w:val="hybridMultilevel"/>
    <w:lvl w:ilvl="0">
      <w:lvlJc w:val="left"/>
      <w:lvlText w:val="%1."/>
      <w:numFmt w:val="decimal"/>
      <w:start w:val="4"/>
    </w:lvl>
  </w:abstractNum>
  <w:abstractNum w:abstractNumId="24">
    <w:nsid w:val="38437FDB"/>
    <w:multiLevelType w:val="hybridMultilevel"/>
    <w:lvl w:ilvl="0">
      <w:lvlJc w:val="left"/>
      <w:lvlText w:val="%1."/>
      <w:numFmt w:val="decimal"/>
      <w:start w:val="5"/>
    </w:lvl>
    <w:lvl w:ilvl="1">
      <w:lvlJc w:val="left"/>
      <w:lvlText w:val="(%2)"/>
      <w:numFmt w:val="lowerRoman"/>
      <w:start w:val="1"/>
    </w:lvl>
  </w:abstractNum>
  <w:abstractNum w:abstractNumId="25">
    <w:nsid w:val="7644A45C"/>
    <w:multiLevelType w:val="hybridMultilevel"/>
    <w:lvl w:ilvl="0">
      <w:lvlJc w:val="left"/>
      <w:lvlText w:val="(%1)"/>
      <w:numFmt w:val="lowerRoman"/>
      <w:start w:val="2"/>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5"/>
    </w:lvl>
    <w:lvl w:ilvl="1">
      <w:lvlJc w:val="left"/>
      <w:lvlText w:val="(%2)"/>
      <w:numFmt w:val="lowerRoman"/>
      <w:start w:val="3"/>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8"/>
    </w:lvl>
  </w:abstractNum>
  <w:abstractNum w:abstractNumId="32">
    <w:nsid w:val="79A1DEAA"/>
    <w:multiLevelType w:val="hybridMultilevel"/>
    <w:lvl w:ilvl="0">
      <w:lvlJc w:val="left"/>
      <w:lvlText w:val="%1."/>
      <w:numFmt w:val="decimal"/>
      <w:start w:val="9"/>
    </w:lvl>
  </w:abstractNum>
  <w:abstractNum w:abstractNumId="33">
    <w:nsid w:val="75C6C33A"/>
    <w:multiLevelType w:val="hybridMultilevel"/>
    <w:lvl w:ilvl="0">
      <w:lvlJc w:val="left"/>
      <w:lvlText w:val="%1."/>
      <w:numFmt w:val="decimal"/>
      <w:start w:val="9"/>
    </w:lvl>
  </w:abstractNum>
  <w:abstractNum w:abstractNumId="34">
    <w:nsid w:val="12E685FB"/>
    <w:multiLevelType w:val="hybridMultilevel"/>
    <w:lvl w:ilvl="0">
      <w:lvlJc w:val="left"/>
      <w:lvlText w:val="%1."/>
      <w:numFmt w:val="decimal"/>
      <w:start w:val="10"/>
    </w:lvl>
  </w:abstractNum>
  <w:abstractNum w:abstractNumId="35">
    <w:nsid w:val="70C6A529"/>
    <w:multiLevelType w:val="hybridMultilevel"/>
    <w:lvl w:ilvl="0">
      <w:lvlJc w:val="left"/>
      <w:lvlText w:val="%1."/>
      <w:numFmt w:val="decimal"/>
      <w:start w:val="10"/>
    </w:lvl>
  </w:abstractNum>
  <w:abstractNum w:abstractNumId="36">
    <w:nsid w:val="520EEDD1"/>
    <w:multiLevelType w:val="hybridMultilevel"/>
    <w:lvl w:ilvl="0">
      <w:lvlJc w:val="left"/>
      <w:lvlText w:val="%1."/>
      <w:numFmt w:val="decimal"/>
      <w:start w:val="13"/>
    </w:lvl>
    <w:lvl w:ilvl="1">
      <w:lvlJc w:val="left"/>
      <w:lvlText w:val="(%2)"/>
      <w:numFmt w:val="lowerLetter"/>
      <w:start w:val="1"/>
    </w:lvl>
  </w:abstractNum>
  <w:abstractNum w:abstractNumId="37">
    <w:nsid w:val="374A3FE6"/>
    <w:multiLevelType w:val="hybridMultilevel"/>
    <w:lvl w:ilvl="0">
      <w:lvlJc w:val="left"/>
      <w:lvlText w:val="%1."/>
      <w:numFmt w:val="decimal"/>
      <w:start w:val="13"/>
    </w:lvl>
    <w:lvl w:ilvl="1">
      <w:lvlJc w:val="left"/>
      <w:lvlText w:val="(%2)"/>
      <w:numFmt w:val="lowerLetter"/>
      <w:start w:val="3"/>
    </w:lvl>
  </w:abstractNum>
  <w:abstractNum w:abstractNumId="38">
    <w:nsid w:val="4F4EF005"/>
    <w:multiLevelType w:val="hybridMultilevel"/>
    <w:lvl w:ilvl="0">
      <w:lvlJc w:val="left"/>
      <w:lvlText w:val="%1."/>
      <w:numFmt w:val="decimal"/>
      <w:start w:val="14"/>
    </w:lvl>
  </w:abstractNum>
  <w:abstractNum w:abstractNumId="39">
    <w:nsid w:val="23F9C13C"/>
    <w:multiLevelType w:val="hybridMultilevel"/>
    <w:lvl w:ilvl="0">
      <w:lvlJc w:val="left"/>
      <w:lvlText w:val="%1."/>
      <w:numFmt w:val="decimal"/>
      <w:start w:val="17"/>
    </w:lvl>
  </w:abstractNum>
  <w:abstractNum w:abstractNumId="40">
    <w:nsid w:val="649BB77C"/>
    <w:multiLevelType w:val="hybridMultilevel"/>
    <w:lvl w:ilvl="0">
      <w:lvlJc w:val="left"/>
      <w:lvlText w:val="%1."/>
      <w:numFmt w:val="decimal"/>
      <w:start w:val="18"/>
    </w:lvl>
  </w:abstractNum>
  <w:abstractNum w:abstractNumId="41">
    <w:nsid w:val="275AC794"/>
    <w:multiLevelType w:val="hybridMultilevel"/>
    <w:lvl w:ilvl="0">
      <w:lvlJc w:val="left"/>
      <w:lvlText w:val="%1."/>
      <w:numFmt w:val="decimal"/>
      <w:start w:val="19"/>
    </w:lvl>
  </w:abstractNum>
  <w:abstractNum w:abstractNumId="42">
    <w:nsid w:val="39386575"/>
    <w:multiLevelType w:val="hybridMultilevel"/>
    <w:lvl w:ilvl="0">
      <w:lvlJc w:val="left"/>
      <w:lvlText w:val="%1."/>
      <w:numFmt w:val="decimal"/>
      <w:start w:val="20"/>
    </w:lvl>
  </w:abstractNum>
  <w:abstractNum w:abstractNumId="43">
    <w:nsid w:val="1CF10FD8"/>
    <w:multiLevelType w:val="hybridMultilevel"/>
    <w:lvl w:ilvl="0">
      <w:lvlJc w:val="left"/>
      <w:lvlText w:val="%1."/>
      <w:numFmt w:val="decimal"/>
      <w:start w:val="21"/>
    </w:lvl>
  </w:abstractNum>
  <w:abstractNum w:abstractNumId="44">
    <w:nsid w:val="180115BE"/>
    <w:multiLevelType w:val="hybridMultilevel"/>
    <w:lvl w:ilvl="0">
      <w:lvlJc w:val="left"/>
      <w:lvlText w:val="%1."/>
      <w:numFmt w:val="decimal"/>
      <w:start w:val="21"/>
    </w:lvl>
  </w:abstractNum>
  <w:abstractNum w:abstractNumId="45">
    <w:nsid w:val="235BA861"/>
    <w:multiLevelType w:val="hybridMultilevel"/>
    <w:lvl w:ilvl="0">
      <w:lvlJc w:val="left"/>
      <w:lvlText w:val="%1."/>
      <w:numFmt w:val="decimal"/>
      <w:start w:val="22"/>
    </w:lvl>
  </w:abstractNum>
  <w:abstractNum w:abstractNumId="46">
    <w:nsid w:val="47398C89"/>
    <w:multiLevelType w:val="hybridMultilevel"/>
    <w:lvl w:ilvl="0">
      <w:lvlJc w:val="left"/>
      <w:lvlText w:val="%1."/>
      <w:numFmt w:val="decimal"/>
      <w:start w:val="23"/>
    </w:lvl>
  </w:abstractNum>
  <w:abstractNum w:abstractNumId="47">
    <w:nsid w:val="354FE9F9"/>
    <w:multiLevelType w:val="hybridMultilevel"/>
    <w:lvl w:ilvl="0">
      <w:lvlJc w:val="left"/>
      <w:lvlText w:val="%1."/>
      <w:numFmt w:val="decimal"/>
      <w:start w:val="23"/>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decimal"/>
      <w:start w:val="23"/>
    </w:lvl>
  </w:abstractNum>
  <w:abstractNum w:abstractNumId="50">
    <w:nsid w:val="D34B6A8"/>
    <w:multiLevelType w:val="hybridMultilevel"/>
    <w:lvl w:ilvl="0">
      <w:lvlJc w:val="left"/>
      <w:lvlText w:val="%1."/>
      <w:numFmt w:val="decimal"/>
      <w:start w:val="24"/>
    </w:lvl>
  </w:abstractNum>
  <w:abstractNum w:abstractNumId="51">
    <w:nsid w:val="10233C99"/>
    <w:multiLevelType w:val="hybridMultilevel"/>
    <w:lvl w:ilvl="0">
      <w:lvlJc w:val="left"/>
      <w:lvlText w:val="%1."/>
      <w:numFmt w:val="decimal"/>
      <w:start w:val="24"/>
    </w:lvl>
  </w:abstractNum>
  <w:abstractNum w:abstractNumId="52">
    <w:nsid w:val="3F6AB60F"/>
    <w:multiLevelType w:val="hybridMultilevel"/>
    <w:lvl w:ilvl="0">
      <w:lvlJc w:val="left"/>
      <w:lvlText w:val="%1."/>
      <w:numFmt w:val="decimal"/>
      <w:start w:val="24"/>
    </w:lvl>
    <w:lvl w:ilvl="1">
      <w:lvlJc w:val="left"/>
      <w:lvlText w:val="●"/>
      <w:numFmt w:val="bullet"/>
      <w:start w:val="1"/>
    </w:lvl>
  </w:abstractNum>
  <w:abstractNum w:abstractNumId="53">
    <w:nsid w:val="61574095"/>
    <w:multiLevelType w:val="hybridMultilevel"/>
    <w:lvl w:ilvl="0">
      <w:lvlJc w:val="left"/>
      <w:lvlText w:val="%1."/>
      <w:numFmt w:val="decimal"/>
      <w:start w:val="25"/>
    </w:lvl>
    <w:lvl w:ilvl="1">
      <w:lvlJc w:val="left"/>
      <w:lvlText w:val="●"/>
      <w:numFmt w:val="bullet"/>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decimal"/>
      <w:start w:val="26"/>
    </w:lvl>
  </w:abstractNum>
  <w:abstractNum w:abstractNumId="56">
    <w:nsid w:val="579BE4F1"/>
    <w:multiLevelType w:val="hybridMultilevel"/>
    <w:lvl w:ilvl="0">
      <w:lvlJc w:val="left"/>
      <w:lvlText w:val="%1."/>
      <w:numFmt w:val="decimal"/>
      <w:start w:val="27"/>
    </w:lvl>
  </w:abstractNum>
  <w:abstractNum w:abstractNumId="57">
    <w:nsid w:val="310C50B3"/>
    <w:multiLevelType w:val="hybridMultilevel"/>
    <w:lvl w:ilvl="0">
      <w:lvlJc w:val="left"/>
      <w:lvlText w:val="%1."/>
      <w:numFmt w:val="decimal"/>
      <w:start w:val="28"/>
    </w:lvl>
  </w:abstractNum>
  <w:abstractNum w:abstractNumId="58">
    <w:nsid w:val="5FF87E05"/>
    <w:multiLevelType w:val="hybridMultilevel"/>
    <w:lvl w:ilvl="0">
      <w:lvlJc w:val="left"/>
      <w:lvlText w:val="%1."/>
      <w:numFmt w:val="decimal"/>
      <w:start w:val="29"/>
    </w:lvl>
    <w:lvl w:ilvl="1">
      <w:lvlJc w:val="left"/>
      <w:lvlText w:val="(%2)"/>
      <w:numFmt w:val="lowerLetter"/>
      <w:start w:val="1"/>
    </w:lvl>
  </w:abstractNum>
  <w:abstractNum w:abstractNumId="59">
    <w:nsid w:val="2F305DEF"/>
    <w:multiLevelType w:val="hybridMultilevel"/>
    <w:lvl w:ilvl="0">
      <w:lvlJc w:val="left"/>
      <w:lvlText w:val="%1."/>
      <w:numFmt w:val="decimal"/>
      <w:start w:val="30"/>
    </w:lvl>
  </w:abstractNum>
  <w:abstractNum w:abstractNumId="60">
    <w:nsid w:val="25A70BF7"/>
    <w:multiLevelType w:val="hybridMultilevel"/>
    <w:lvl w:ilvl="0">
      <w:lvlJc w:val="left"/>
      <w:lvlText w:val="%1."/>
      <w:numFmt w:val="decimal"/>
      <w:start w:val="30"/>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decimal"/>
      <w:start w:val="30"/>
    </w:lvl>
  </w:abstractNum>
  <w:abstractNum w:abstractNumId="64">
    <w:nsid w:val="1381823A"/>
    <w:multiLevelType w:val="hybridMultilevel"/>
    <w:lvl w:ilvl="0">
      <w:lvlJc w:val="left"/>
      <w:lvlText w:val="%1."/>
      <w:numFmt w:val="decimal"/>
      <w:start w:val="31"/>
    </w:lvl>
  </w:abstractNum>
  <w:abstractNum w:abstractNumId="65">
    <w:nsid w:val="5DB70AE5"/>
    <w:multiLevelType w:val="hybridMultilevel"/>
    <w:lvl w:ilvl="0">
      <w:lvlJc w:val="left"/>
      <w:lvlText w:val="%1."/>
      <w:numFmt w:val="decimal"/>
      <w:start w:val="31"/>
    </w:lvl>
  </w:abstractNum>
  <w:abstractNum w:abstractNumId="66">
    <w:nsid w:val="100F8FCA"/>
    <w:multiLevelType w:val="hybridMultilevel"/>
    <w:lvl w:ilvl="0">
      <w:lvlJc w:val="left"/>
      <w:lvlText w:val="%1."/>
      <w:numFmt w:val="decimal"/>
      <w:start w:val="32"/>
    </w:lvl>
  </w:abstractNum>
  <w:abstractNum w:abstractNumId="67">
    <w:nsid w:val="6590700B"/>
    <w:multiLevelType w:val="hybridMultilevel"/>
    <w:lvl w:ilvl="0">
      <w:lvlJc w:val="left"/>
      <w:lvlText w:val="%1."/>
      <w:numFmt w:val="decimal"/>
      <w:start w:val="33"/>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7" Type="http://schemas.openxmlformats.org/officeDocument/2006/relationships/hyperlink" Target="http://www.sec.gov/Archives/edgar/data/1974044/000119312523259579/d549856dex11.htm" TargetMode="External"/><Relationship Id="rId18" Type="http://schemas.openxmlformats.org/officeDocument/2006/relationships/hyperlink" Target="http://www.sec.gov/Archives/edgar/data/1974044/000121390024037152/ea020435501ex2-1_money.htm" TargetMode="External"/><Relationship Id="rId19" Type="http://schemas.openxmlformats.org/officeDocument/2006/relationships/hyperlink" Target="http://www.sec.gov/Archives/edgar/data/1974044/000119312523232447/d497333dex41.htm" TargetMode="External"/><Relationship Id="rId20" Type="http://schemas.openxmlformats.org/officeDocument/2006/relationships/hyperlink" Target="http://www.sec.gov/Archives/edgar/data/1974044/000119312523232447/d497333dex42.htm" TargetMode="External"/><Relationship Id="rId21" Type="http://schemas.openxmlformats.org/officeDocument/2006/relationships/hyperlink" Target="http://www.sec.gov/Archives/edgar/data/1974044/000119312523232447/d497333dex43.htm" TargetMode="External"/><Relationship Id="rId22" Type="http://schemas.openxmlformats.org/officeDocument/2006/relationships/hyperlink" Target="http://www.sec.gov/Archives/edgar/data/1974044/000119312523232447/d497333dex104.htm" TargetMode="External"/><Relationship Id="rId23" Type="http://schemas.openxmlformats.org/officeDocument/2006/relationships/hyperlink" Target="http://www.sec.gov/Archives/edgar/data/1974044/000119312523232447/d497333dex102.htm" TargetMode="External"/><Relationship Id="rId24" Type="http://schemas.openxmlformats.org/officeDocument/2006/relationships/hyperlink" Target="http://www.sec.gov/Archives/edgar/data/1974044/000119312523232447/d497333dex103.htm" TargetMode="External"/><Relationship Id="rId25" Type="http://schemas.openxmlformats.org/officeDocument/2006/relationships/hyperlink" Target="http://www.sec.gov/Archives/edgar/data/1974044/000119312523232447/d497333dex105.htm" TargetMode="External"/><Relationship Id="rId26" Type="http://schemas.openxmlformats.org/officeDocument/2006/relationships/hyperlink" Target="http://www.sec.gov/Archives/edgar/data/1974044/000119312523232447/d497333dex107.htm" TargetMode="External"/><Relationship Id="rId27" Type="http://schemas.openxmlformats.org/officeDocument/2006/relationships/hyperlink" Target="http://www.sec.gov/Archives/edgar/data/1974044/000119312523259579/d549856dex45.htm" TargetMode="External"/><Relationship Id="rId28" Type="http://schemas.openxmlformats.org/officeDocument/2006/relationships/hyperlink" Target="http://www.sec.gov/Archives/edgar/data/1974044/000119312523232447/d497333dex1019.htm" TargetMode="External"/><Relationship Id="rId29" Type="http://schemas.openxmlformats.org/officeDocument/2006/relationships/hyperlink" Target="http://www.sec.gov/Archives/edgar/data/1974044/000119312523259579/d549856dex46.htm" TargetMode="External"/><Relationship Id="rId30" Type="http://schemas.openxmlformats.org/officeDocument/2006/relationships/hyperlink" Target="http://www.sec.gov/Archives/edgar/data/1974044/000121390024037152/ea020435501ex11-1_money.htm" TargetMode="External"/><Relationship Id="rId31" Type="http://schemas.openxmlformats.org/officeDocument/2006/relationships/hyperlink" Target="http://www.sec.gov/Archives/edgar/data/1974044/000121390024037152/ea020435501ex11-2_money.htm" TargetMode="External"/><Relationship Id="rId32" Type="http://schemas.openxmlformats.org/officeDocument/2006/relationships/hyperlink" Target="http://www.sec.gov/Archives/edgar/data/1974044/000119312523259579/d549856dex81.htm" TargetMode="External"/><Relationship Id="rId33" Type="http://schemas.openxmlformats.org/officeDocument/2006/relationships/hyperlink" Target="http://www.sec.gov/Archives/edgar/data/1974044/000121390024037152/ea020435501ex97-1_mone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2026-05-27T15:24:52Z</dcterms:created>
  <dcterms:modified xsi:type="dcterms:W3CDTF">2026-05-27T15:24:52Z</dcterms:modified>
</cp:coreProperties>
</file>