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22.xml.htm"/>
      <w:bookmarkStart w:id="1" w:name="ksform408082026_1208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118"/>
        <w:gridCol w:w="3063"/>
        <w:gridCol w:w="3024"/>
      </w:tblGrid>
      <w:tr>
        <w:trPr/>
        <w:tc>
          <w:tcPr>
            <w:tcW w:w="411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Teichman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MONEYHERO LIMITED</w:t>
                  </w:r>
                </w:p>
              </w:tc>
            </w:tr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SHENTON WAY #18-15, EON SHENTON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S079118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0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MoneyHero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2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5"/>
              <w:gridCol w:w="1017"/>
              <w:gridCol w:w="435"/>
              <w:gridCol w:w="1017"/>
            </w:tblGrid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0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4"/>
              <w:gridCol w:w="2470"/>
            </w:tblGrid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194,804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share units (the "RSUs"). Each RSU represents a contingent right to receive one Class A ordinary share of the Issuer upon settlement. 100% of the RSUs will vest on August 17, 2026,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 Hei Jasper Yip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504" TargetMode="External"/><Relationship Id="rId5" Type="http://schemas.openxmlformats.org/officeDocument/2006/relationships/hyperlink" Target="http://www.sec.gov/cgi-bin/browse-edgar?action=getcompany&amp;CIK=0001974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3428</Characters>
  <CharactersWithSpaces>3988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