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738-6k_money.htm"/>
      <w:bookmarkStart w:id="1" w:name="ksea03017386k_mone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001-41838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Limited</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Shenton Way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#18-15, EON Shenton, S079118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28" w:type="dxa"/>
          <w:right w:w="0" w:type="dxa"/>
        </w:tblCellMar>
      </w:tblPr>
      <w:tblGrid>
        <w:gridCol w:w="785"/>
        <w:gridCol w:w="60"/>
        <w:gridCol w:w="2270"/>
      </w:tblGrid>
      <w:tr>
        <w:trPr/>
        <w:tc>
          <w:tcPr>
            <w:tcW w:w="785" w:type="dxa"/>
            <w:tcBorders>
              <w:bottom w:val="single" w:sz="12" w:space="0" w:color="000000"/>
            </w:tcBorders>
            <w:vAlign w:val="center"/>
          </w:tcPr>
          <w:p>
            <w:pPr>
              <w:pStyle w:val="TableContents"/>
              <w:bidi w:val="0"/>
              <w:spacing w:before="0" w:after="283"/>
              <w:jc w:val="left"/>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12" w:space="0" w:color="000000"/>
            </w:tcBorders>
            <w:vAlign w:val="center"/>
          </w:tcPr>
          <w:p>
            <w:pPr>
              <w:pStyle w:val="TableContents"/>
              <w:bidi w:val="0"/>
              <w:spacing w:before="0" w:after="283"/>
              <w:jc w:val="left"/>
              <w:rPr>
                <w:b/>
              </w:rPr>
            </w:pPr>
            <w:r>
              <w:rPr>
                <w:b/>
              </w:rPr>
              <w:t>Description of Exhibit</w:t>
            </w:r>
          </w:p>
        </w:tc>
      </w:tr>
      <w:tr>
        <w:trPr/>
        <w:tc>
          <w:tcPr>
            <w:tcW w:w="78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left"/>
              <w:rPr/>
            </w:pPr>
            <w:hyperlink w:anchor="ea030173801ex99-1.htm">
              <w:r>
                <w:rPr>
                  <w:rStyle w:val="InternetLink"/>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1865"/>
        <w:gridCol w:w="545"/>
        <w:gridCol w:w="4835"/>
      </w:tblGrid>
      <w:tr>
        <w:trPr/>
        <w:tc>
          <w:tcPr>
            <w:tcW w:w="186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MONEYHERO LIMITED</w:t>
            </w:r>
          </w:p>
        </w:tc>
      </w:tr>
      <w:tr>
        <w:trPr/>
        <w:tc>
          <w:tcPr>
            <w:tcW w:w="1865"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Danny Leung</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Danny Leung</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Executive Officer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173801ex99-1.htm"/>
      <w:bookmarkStart w:id="3" w:name="ksea030173801ex991"/>
      <w:bookmarkEnd w:id="2"/>
      <w:bookmarkEnd w:id="3"/>
      <w:r>
        <w:rPr>
          <w:b/>
        </w:rPr>
        <w:t>Exhibit 99.1</w:t>
      </w:r>
      <w:r>
        <w:br w:type="page"/>
      </w:r>
    </w:p>
    <w:p>
      <w:pPr>
        <w:pStyle w:val="TextBody"/>
        <w:bidi w:val="0"/>
        <w:spacing w:before="0" w:after="283"/>
        <w:jc w:val="left"/>
        <w:rPr/>
      </w:pPr>
      <w:r>
        <w:rPr/>
        <w:t> </w:t>
      </w:r>
    </w:p>
    <w:p>
      <w:pPr>
        <w:pStyle w:val="TextBody"/>
        <w:bidi w:val="0"/>
        <w:jc w:val="center"/>
        <w:rPr/>
      </w:pPr>
      <w:r>
        <w:rPr/>
        <w:drawing>
          <wp:inline distT="0" distB="0" distL="0" distR="0">
            <wp:extent cx="3714750"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14750" cy="10763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Group Announces Receipt of Nasdaq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HONG KONG/SINGAPORE, August 13, 2026 (ET)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MoneyHero Limited</w:t>
      </w:r>
      <w:r>
        <w:rPr>
          <w:rFonts w:ascii="Times New Roman;Times;Serif" w:hAnsi="Times New Roman;Times;Serif"/>
          <w:b w:val="false"/>
          <w:i w:val="false"/>
          <w:caps w:val="false"/>
          <w:smallCaps w:val="false"/>
          <w:sz w:val="20"/>
        </w:rPr>
        <w:t xml:space="preserve"> (Nasdaq: </w:t>
      </w:r>
      <w:r>
        <w:rPr>
          <w:rFonts w:ascii="Times New Roman;Times;Serif" w:hAnsi="Times New Roman;Times;Serif"/>
          <w:b w:val="false"/>
          <w:i w:val="false"/>
          <w:caps w:val="false"/>
          <w:smallCaps w:val="false"/>
          <w:sz w:val="20"/>
          <w:u w:val="single"/>
        </w:rPr>
        <w:t>MNY</w:t>
      </w:r>
      <w:r>
        <w:rPr>
          <w:rFonts w:ascii="Times New Roman;Times;Serif" w:hAnsi="Times New Roman;Times;Serif"/>
          <w:b w:val="false"/>
          <w:i w:val="false"/>
          <w:caps w:val="false"/>
          <w:smallCaps w:val="false"/>
          <w:sz w:val="20"/>
        </w:rPr>
        <w:t>) (“MoneyHero” or the “Company”), a leading tech- and AI-powered personal finance aggregation and comparison platform, and a digital insurance brokerage provider in Greater Southeast Asia, today announced that it had received written notification (the “Deficiency Letter”) from the staff of the Listing Qualifications Department of the Nasdaq Stock Market LLC (“Nasdaq”) dated August 7, 2026, indicating that because the closing bid price of the Company’s ordinary shares for the last 30 consecutive business days was below US$1.00 per share, the Company no longer meets the Nasdaq Global Market minimum bid price requirement set forth in Nasdaq Listing Rule 5450(a)(1). The Deficiency Letter does not result in the immediate delisting of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5810(c)(3)(A), the Company has an initial compliance period of 180 calendar days, or until February 3, 2027 (the “Compliance Period”), to regain compliance with Nasdaq’s minimum bid price requirement. If at any time during the Compliance Period, the closing bid price per share is at least US$1.00 for a minimum of 10 consecutive business days, Nasdaq will provide the Company a written confirmation of compliance and the matter will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does not regain compliance by February 3, 2027, subject to the determination by the staff of Nasdaq, the Company may be eligible for an additional 180 calendar days compliance period if it transfers to the Nasdaq Capital Market and meets the continued listing requirements for market value of publicly held shares and all other initial listing standards, with the exception of the bid price requirement, of the Nasdaq Capital Market, and provides written notice of its intention to cure the deficiency during the second compliance period to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actively monitoring the closing bid price of its securities and is carefully exploring all available options to regain compliance with the Nasdaq minimum bid price requirement by February 3, 2027. Management is confident in the progress being made across various initiatives to address this situation effectively. It is important to note that the Deficiency Letter does not affect the Company’s ongoing business operations, its obligations under U.S. Securities and Exchange Commission reporting requirements, or its contractual obligations.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MoneyHero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Limited (NASDAQ: MNY) is a tech- and AI-powered personal finance aggregation and comparison platform that provides consumers with actionable insights to discover, compare, and choose the best financial products with confidence — bringing data intelligence and seamless digital access across insurance and banking solutions.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270 commercial partner relationships as at March 31, 2026, and had approximately 3.9 million Monthly Unique Users across its platform for the year ended March 31, 2026.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IR Team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IR@MoneyHeroGroup.com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PR Team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733</Words>
  <Characters>4169</Characters>
  <CharactersWithSpaces>4917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