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3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July 5, 2023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Prashant Aggarwal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Executive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MoneyHero Ltd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70 Shenton Way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#18-15, EON Shenton, S079118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Singapore</w:t>
      </w:r>
    </w:p>
    <w:p>
      <w:pPr>
        <w:spacing w:after="0" w:line="183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MoneyHero Ltd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Draft Registration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 on Form F-4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Submitted June 5,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2023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CIK 0001974044</w:t>
      </w:r>
    </w:p>
    <w:p>
      <w:pPr>
        <w:spacing w:after="0" w:line="183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Prashant Aggarwal: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right="2019" w:firstLine="1474"/>
        <w:spacing w:after="0" w:line="24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reviewed your draft registration statement and have the following comments. In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right="20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some of our comments, we may ask you to provide us with information so we may better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understand your disclosure.</w:t>
      </w:r>
    </w:p>
    <w:p>
      <w:pPr>
        <w:spacing w:after="0" w:line="182" w:lineRule="exact"/>
        <w:rPr>
          <w:sz w:val="24"/>
          <w:szCs w:val="24"/>
          <w:color w:val="auto"/>
        </w:rPr>
      </w:pPr>
    </w:p>
    <w:p>
      <w:pPr>
        <w:ind w:right="2759" w:firstLine="1474"/>
        <w:spacing w:after="0" w:line="24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this letter by providing the requested information and either submitting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right="275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 amended draft registration statement or publicly filing your registration statement on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255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EDGAR. If you do not believe our comments apply to your facts and circumstances or do not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275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believe an amendment is appropriate, please tell us why in your response.</w:t>
      </w:r>
    </w:p>
    <w:p>
      <w:pPr>
        <w:spacing w:after="0" w:line="183" w:lineRule="exact"/>
        <w:rPr>
          <w:sz w:val="24"/>
          <w:szCs w:val="24"/>
          <w:color w:val="auto"/>
        </w:rPr>
      </w:pPr>
    </w:p>
    <w:p>
      <w:pPr>
        <w:ind w:right="2019" w:firstLine="1369"/>
        <w:spacing w:after="0" w:line="24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reviewing the information you provide in response to these comments and your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right="18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amended draft registration statement or filed registration statement, we may have additional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comments.</w:t>
      </w:r>
    </w:p>
    <w:p>
      <w:pPr>
        <w:spacing w:after="0" w:line="18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Draft Registration Statement on Form F-4 submitted June 5, 2023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Cover Page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right="2559" w:firstLine="316"/>
        <w:spacing w:after="0" w:line="24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1. We note that the Sponsor, each Bridgetown director and certain other advisors of</w:t>
      </w: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Bridgetown to whom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Sponsor has transferred Bridgetown Shares have agreed to, among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other things, vote all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 their Bridgetown Shares in favor of the proposals being presented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at the Extraordinary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General Meeting and waive their redemption rights with respect to</w:t>
      </w:r>
    </w:p>
    <w:p>
      <w:pPr>
        <w:jc w:val="right"/>
        <w:ind w:right="18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their Bridgetown Shares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 connection with the consummation of the Business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Combination. Please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describe any consideration provided in exchange for this agreement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here and elsewhere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throughout your proxy statement/prospectus as appropriate.</w:t>
      </w: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Prashant Aggarwal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</w:t>
      </w:r>
    </w:p>
    <w:p>
      <w:pPr>
        <w:spacing w:after="0" w:line="238" w:lineRule="auto"/>
        <w:tabs>
          <w:tab w:leader="none" w:pos="28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MoneyHeroLastNamePrashant</w:t>
        <w:tab/>
        <w:t>Aggarwal</w:t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Ltd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July 5, 2023NameMoneyHero Ltd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July 5,2 2023 Page 2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2659" w:firstLine="8"/>
        <w:spacing w:after="0" w:line="238" w:lineRule="auto"/>
        <w:tabs>
          <w:tab w:leader="none" w:pos="948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your prospectus cover page to address how recent statements and regulatory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255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actions by both China s government and Hong Kong's regulatory authorities, such as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191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those related to data security or anti-monopoly concerns, have or may impact the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297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company s ability to conduct its business, accept foreign investments, or list on a U.S. or</w:t>
      </w:r>
    </w:p>
    <w:p>
      <w:pPr>
        <w:ind w:left="960"/>
        <w:spacing w:after="0"/>
        <w:tabs>
          <w:tab w:leader="none" w:pos="76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other foreign exchange. Disclose the location of your auditor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s</w:t>
      </w:r>
    </w:p>
    <w:p>
      <w:pPr>
        <w:sectPr>
          <w:pgSz w:w="11900" w:h="16849" w:orient="portrait"/>
          <w:cols w:equalWidth="0" w:num="1">
            <w:col w:w="10139"/>
          </w:cols>
          <w:pgMar w:left="320" w:top="226" w:right="1440" w:bottom="0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headquarters and whether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how the Holding Foreign Companies Accountable Act, as amended by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</w:t>
      </w:r>
    </w:p>
    <w:p>
      <w:pPr>
        <w:ind w:right="211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Consolidated Appropriations Act, 2023, and related regulations will affect your company.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Ensure that your prospectus summary addresses all of these risks, as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well.</w:t>
      </w:r>
    </w:p>
    <w:p>
      <w:pPr>
        <w:ind w:right="1919" w:firstLine="8"/>
        <w:spacing w:after="0" w:line="238" w:lineRule="auto"/>
        <w:tabs>
          <w:tab w:leader="none" w:pos="94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Here and in the prospectus summary, provide a description of how cash is transferred</w:t>
      </w:r>
    </w:p>
    <w:p>
      <w:pPr>
        <w:ind w:right="18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through your organization, and state whether any transfers, dividends, or distributions</w:t>
      </w:r>
    </w:p>
    <w:p>
      <w:pPr>
        <w:ind w:right="265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have been made to date between you and your subsidiaries or to investors, and quantify</w:t>
      </w:r>
    </w:p>
    <w:p>
      <w:pPr>
        <w:ind w:right="18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amounts where applicable. Disclose that, to the extent cash/assets in the business is in</w:t>
      </w:r>
    </w:p>
    <w:p>
      <w:pPr>
        <w:ind w:right="24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Hong Kong or a Hong Kong entity, the funds/assets may not be available to fund</w:t>
      </w:r>
    </w:p>
    <w:p>
      <w:pPr>
        <w:ind w:right="297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operations or for other use outside of the Hong Kong due to interventions in or the</w:t>
      </w:r>
    </w:p>
    <w:p>
      <w:pPr>
        <w:ind w:right="21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imposition of restrictions and limitations on the ability of you or your subsidiaries by the</w:t>
      </w:r>
    </w:p>
    <w:p>
      <w:pPr>
        <w:ind w:right="22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PRC government to transfer cash/assets. On the cover page, provide cross-references to</w:t>
      </w:r>
    </w:p>
    <w:p>
      <w:pPr>
        <w:ind w:right="18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these other discussions. Also discuss whether there are limitations on your ability to</w:t>
      </w:r>
    </w:p>
    <w:p>
      <w:pPr>
        <w:ind w:right="18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transfer cash between you, your subsidiaries or investors, and provide a cross-reference to</w:t>
      </w:r>
    </w:p>
    <w:p>
      <w:pPr>
        <w:ind w:right="20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your discussion of this issue in your summary, summary risk factors, and risk factors</w:t>
      </w:r>
    </w:p>
    <w:p>
      <w:pPr>
        <w:ind w:right="24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sections. Describe any restrictions on foreign exchange and your ability to transfer cash</w:t>
      </w:r>
    </w:p>
    <w:p>
      <w:pPr>
        <w:ind w:right="21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between entities, across borders, and to U.S. investors, as well as any restrictions on your</w:t>
      </w:r>
    </w:p>
    <w:p>
      <w:pPr>
        <w:ind w:right="18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ability to distribute earnings. To the extent you have cash management policies that</w:t>
      </w:r>
    </w:p>
    <w:p>
      <w:pPr>
        <w:ind w:right="21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dictate how funds are transferred between you, your subsidiaries or investors, summarize</w:t>
      </w:r>
    </w:p>
    <w:p>
      <w:pPr>
        <w:ind w:right="265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policies on your cover page and in the prospectus summary, disclose the source of</w:t>
      </w:r>
    </w:p>
    <w:p>
      <w:pPr>
        <w:ind w:right="19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such policies, and include a cross-reference on the cover page to the discussion in the</w:t>
      </w:r>
    </w:p>
    <w:p>
      <w:pPr>
        <w:ind w:right="285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summary; alternatively state that you have no such policies. Presentation of Financial Information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PubCo, page 4</w:t>
      </w:r>
    </w:p>
    <w:p>
      <w:pPr>
        <w:spacing w:after="0" w:line="183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8"/>
        <w:spacing w:after="0" w:line="249" w:lineRule="auto"/>
        <w:tabs>
          <w:tab w:leader="none" w:pos="94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have disclosed here that PubCo, incorporated on March 21, 2023, has no material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assets and does not operate any businesses, so no financial statements of PubCo have been</w:t>
      </w:r>
    </w:p>
    <w:p>
      <w:pPr>
        <w:ind w:right="20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included in this document. We also note the disclosure on page 38 of your filing</w:t>
      </w:r>
    </w:p>
    <w:p>
      <w:pPr>
        <w:ind w:right="18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that PubCo was incorporated with an aggregate share capital of $50,000 divided into</w:t>
      </w:r>
    </w:p>
    <w:p>
      <w:pPr>
        <w:ind w:right="18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500,000,000 registered shares of a par value of $0.0001 per share, and that two such</w:t>
      </w:r>
    </w:p>
    <w:p>
      <w:pPr>
        <w:ind w:right="22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shares are currently issued and outstanding. At incorporation, its assets consisted of the</w:t>
      </w:r>
    </w:p>
    <w:p>
      <w:pPr>
        <w:ind w:right="23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par value contributed for its two outstanding shares. While these balance sheet items may</w:t>
      </w:r>
    </w:p>
    <w:p>
      <w:pPr>
        <w:ind w:right="20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be quantitatively not material, the incorporation of the entity that will be the surviving</w:t>
      </w:r>
    </w:p>
    <w:p>
      <w:pPr>
        <w:ind w:right="23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legal entity is qualitatively significant. Please include audited financial statements for</w:t>
      </w:r>
    </w:p>
    <w:p>
      <w:pPr>
        <w:ind w:right="18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PubCo. Please note the guidance in Item 14 of Form F-4 and Item 8.A of Form 20-F that</w:t>
      </w:r>
    </w:p>
    <w:p>
      <w:pPr>
        <w:ind w:right="22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specifies that if the registrant has been in existence less than a year and have not yet</w:t>
      </w:r>
    </w:p>
    <w:p>
      <w:pPr>
        <w:ind w:right="18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commenced operations, you may instead include an audited balance sheet that is no more</w:t>
      </w:r>
    </w:p>
    <w:p>
      <w:pPr>
        <w:ind w:right="697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than nine months old. Prashant Aggarwal MoneyHero Ltd</w:t>
      </w:r>
    </w:p>
    <w:p>
      <w:pPr>
        <w:ind w:right="8859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July 5, 2023 Page 3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Questions and Answers About the Proposals</w:t>
      </w:r>
    </w:p>
    <w:p>
      <w:pPr>
        <w:ind w:right="2239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Q. May Bridgetown, Sponsor or Bridgetown's directors, officers, advisors or their affiliates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purchase shares..., page 15</w:t>
      </w:r>
    </w:p>
    <w:p>
      <w:pPr>
        <w:spacing w:after="0" w:line="183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8"/>
        <w:spacing w:after="0" w:line="259" w:lineRule="auto"/>
        <w:tabs>
          <w:tab w:leader="none" w:pos="94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that you have arranged to sell additional securities to raise funds to satisfy the</w:t>
      </w:r>
    </w:p>
    <w:p>
      <w:pPr>
        <w:sectPr>
          <w:pgSz w:w="11900" w:h="16838" w:orient="portrait"/>
          <w:cols w:equalWidth="0" w:num="1">
            <w:col w:w="10139"/>
          </w:cols>
          <w:pgMar w:left="320" w:top="118" w:right="1440" w:bottom="0" w:gutter="0" w:footer="0" w:header="0"/>
        </w:sectPr>
      </w:pPr>
    </w:p>
    <w:bookmarkStart w:id="2" w:name="page3"/>
    <w:bookmarkEnd w:id="2"/>
    <w:p>
      <w:pPr>
        <w:ind w:right="1819" w:firstLine="948"/>
        <w:spacing w:after="0" w:line="24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minimum cash required to complete the Business Combination transaction after returning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right="181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funds to redeeming stockholders. Further, we note that the Sponsor has entered into Non-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43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Redemption Deeds in favor of each of the FWD Parties pursuant to which, among other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75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things, Sponsor has offered to pay to the FWD Parties certain compensation in exchange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23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 such FWD Party participating in certain actions (e.g., vote in favor of the business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97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combination) and not pursue other actions (e.g., selling or transferring Bridgetown Class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65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 Ordinary Shares prior to closing of the initial merger) that facilitate the consummation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191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 the Business Combination. Revise the disclosure to discuss the key terms of any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01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convertible securities and to disclose the potential impact of these securities, including the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Non-Redemption Deeds on non-redeeming shareholders.</w:t>
      </w:r>
    </w:p>
    <w:p>
      <w:pPr>
        <w:ind w:right="18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Q. What shall be the relative equity stakes of Bridgetown shareholders and CGCL shareholders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 PubCo upon completion..., page 18</w:t>
      </w:r>
    </w:p>
    <w:p>
      <w:pPr>
        <w:spacing w:after="0" w:line="182" w:lineRule="exact"/>
        <w:rPr>
          <w:sz w:val="20"/>
          <w:szCs w:val="20"/>
          <w:color w:val="auto"/>
        </w:rPr>
      </w:pPr>
    </w:p>
    <w:p>
      <w:pPr>
        <w:ind w:right="2439" w:firstLine="8"/>
        <w:spacing w:after="0" w:line="249" w:lineRule="auto"/>
        <w:tabs>
          <w:tab w:leader="none" w:pos="948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your Share Ownership in PubCo table, and elsewhere throughout your proxy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statement/prospectus, to include all potential sources of dilution affecting public</w:t>
      </w:r>
    </w:p>
    <w:p>
      <w:pPr>
        <w:ind w:right="22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stockholders related to this Business Combination. In this regard, please revise the tables</w:t>
      </w:r>
    </w:p>
    <w:p>
      <w:pPr>
        <w:ind w:right="21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 include any shares being reserved for the PubCo equity incentive plans or otherwise.</w:t>
      </w:r>
    </w:p>
    <w:p>
      <w:pPr>
        <w:jc w:val="both"/>
        <w:ind w:right="22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that your transaction does not contemplate PIPE financing. Q. What interests do Bridgetown's Sponsors, directors, officers and certain advisors have in the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Business Combination?, page 26</w:t>
      </w:r>
    </w:p>
    <w:p>
      <w:pPr>
        <w:spacing w:after="0" w:line="183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jc w:val="both"/>
        <w:ind w:left="960" w:right="1919" w:hanging="952"/>
        <w:spacing w:after="0" w:line="281" w:lineRule="auto"/>
        <w:tabs>
          <w:tab w:leader="none" w:pos="960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We note from your disclosure here and elsewhere throughout your proxy statement/prospectus that you have waived the corporate opportunities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doctrine in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connection with the Business Combination. Please revise this section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elsewhere</w:t>
      </w:r>
    </w:p>
    <w:p>
      <w:pPr>
        <w:ind w:left="9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throughout your disclosure as appropriate to disclose whether you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believe this waiver</w:t>
      </w:r>
    </w:p>
    <w:p>
      <w:pPr>
        <w:ind w:left="9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materially impacted your search for an acquisition target.</w:t>
      </w:r>
    </w:p>
    <w:p>
      <w:pPr>
        <w:ind w:right="1819" w:firstLine="8"/>
        <w:spacing w:after="0" w:line="238" w:lineRule="auto"/>
        <w:tabs>
          <w:tab w:leader="none" w:pos="948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quantify the aggregate dollar amount and describe the nature of what the sponsor</w:t>
      </w:r>
    </w:p>
    <w:p>
      <w:pPr>
        <w:ind w:right="265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its affiliates have at risk depends on the completion of a business combination.</w:t>
      </w:r>
    </w:p>
    <w:p>
      <w:pPr>
        <w:ind w:right="22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Include the current value of securities held, loans extended, fees due, and out-of-pocket</w:t>
      </w:r>
    </w:p>
    <w:p>
      <w:pPr>
        <w:ind w:right="265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expenses for which the sponsor and its affiliates are awaiting reimbursement. Provide</w:t>
      </w:r>
    </w:p>
    <w:p>
      <w:pPr>
        <w:ind w:left="960"/>
        <w:spacing w:after="0"/>
        <w:tabs>
          <w:tab w:leader="none" w:pos="48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similar disclosure for the company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s officers and directors, if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material.</w:t>
      </w:r>
    </w:p>
    <w:p>
      <w:pPr>
        <w:ind w:right="2559" w:firstLine="8"/>
        <w:spacing w:after="0" w:line="238" w:lineRule="auto"/>
        <w:tabs>
          <w:tab w:leader="none" w:pos="842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highlight the risk that the sponsor will benefit from the completion of a business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LastNamePrashant Aggarwal</w:t>
      </w:r>
    </w:p>
    <w:p>
      <w:pPr>
        <w:ind w:right="2239" w:firstLine="842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combination and may be incentivized to complete an acquisition of a less favorable target</w:t>
      </w:r>
    </w:p>
    <w:p>
      <w:pPr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</w:t>
      </w:r>
      <w:r>
        <w:rPr>
          <w:rFonts w:ascii="Courier New" w:cs="Courier New" w:eastAsia="Courier New" w:hAnsi="Courier New"/>
          <w:sz w:val="16"/>
          <w:szCs w:val="16"/>
          <w:color w:val="auto"/>
        </w:rPr>
        <w:t>NameMoneyHero</w:t>
      </w:r>
    </w:p>
    <w:p>
      <w:pPr>
        <w:ind w:right="2559" w:firstLine="842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company Ltdfavorable to shareholders rather than liquidate. We note your</w:t>
      </w:r>
    </w:p>
    <w:p>
      <w:pPr>
        <w:ind w:left="1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or on terms less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July 5, disclosure</w:t>
      </w:r>
    </w:p>
    <w:p>
      <w:pPr>
        <w:ind w:left="8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2023 Pageelsewhere</w:t>
      </w:r>
    </w:p>
    <w:p>
      <w:pPr>
        <w:ind w:left="3160" w:hanging="1151"/>
        <w:spacing w:after="0"/>
        <w:tabs>
          <w:tab w:leader="none" w:pos="3160" w:val="left"/>
        </w:tabs>
        <w:numPr>
          <w:ilvl w:val="0"/>
          <w:numId w:val="6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 your proxy statement/prospectus discussing</w:t>
      </w:r>
    </w:p>
    <w:p>
      <w:pPr>
        <w:ind w:right="6439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this specific point. FirstName LastName Prashant Aggarwal FirstName MoneyHeroLastNamePrashant Aggarwal</w:t>
      </w:r>
    </w:p>
    <w:p>
      <w:pPr>
        <w:spacing w:after="0" w:line="195" w:lineRule="exact"/>
        <w:rPr>
          <w:sz w:val="20"/>
          <w:szCs w:val="20"/>
          <w:color w:val="auto"/>
        </w:rPr>
      </w:pP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Ltd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July 5, 2023NameMoneyHero Ltd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July 5,4 2023 Page 4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239" w:firstLine="8"/>
        <w:spacing w:after="0" w:line="238" w:lineRule="auto"/>
        <w:tabs>
          <w:tab w:leader="none" w:pos="948" w:val="left"/>
        </w:tabs>
        <w:numPr>
          <w:ilvl w:val="0"/>
          <w:numId w:val="7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to discuss any material interests in the transaction held by Mr. Wong and</w:t>
      </w:r>
    </w:p>
    <w:p>
      <w:pPr>
        <w:ind w:right="20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Mr. Li, including fiduciary or contractual obligations to, interests in and affiliations</w:t>
      </w:r>
    </w:p>
    <w:p>
      <w:pPr>
        <w:sectPr>
          <w:pgSz w:w="11900" w:h="16838" w:orient="portrait"/>
          <w:cols w:equalWidth="0" w:num="1">
            <w:col w:w="10139"/>
          </w:cols>
          <w:pgMar w:left="320" w:top="118" w:right="1440" w:bottom="0" w:gutter="0" w:footer="0" w:header="0"/>
        </w:sectPr>
      </w:pPr>
    </w:p>
    <w:bookmarkStart w:id="3" w:name="page4"/>
    <w:bookmarkEnd w:id="3"/>
    <w:p>
      <w:pPr>
        <w:ind w:right="2019" w:firstLine="948"/>
        <w:spacing w:after="0" w:line="24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with the target. Clarify how the board considered those conflicts in negotiating and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right="4859" w:firstLine="948"/>
        <w:spacing w:after="0" w:line="296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recommending the business combination. Summary of the Proxy Statement/Prospectus, page 35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right="1819" w:firstLine="8"/>
        <w:spacing w:after="0" w:line="249" w:lineRule="auto"/>
        <w:tabs>
          <w:tab w:leader="none" w:pos="948" w:val="left"/>
        </w:tabs>
        <w:numPr>
          <w:ilvl w:val="0"/>
          <w:numId w:val="8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Disclose each permission or approval that you or your subsidiaries are required to obtain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from Chinese authorities to operate your business and to offer the securities being</w:t>
      </w:r>
    </w:p>
    <w:p>
      <w:pPr>
        <w:ind w:right="20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registered to foreign investors, and state affirmatively whether you have received all</w:t>
      </w:r>
    </w:p>
    <w:p>
      <w:pPr>
        <w:ind w:right="19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requisite permissions and approvals and whether any have been denied. State here, as you</w:t>
      </w:r>
    </w:p>
    <w:p>
      <w:pPr>
        <w:ind w:right="275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do on pages 101-102, that you do not believe that you or your subsidiaries are covered by</w:t>
      </w:r>
    </w:p>
    <w:p>
      <w:pPr>
        <w:ind w:right="21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permissions requirements from the CSRC or CAC. Please also describe the consequences</w:t>
      </w:r>
    </w:p>
    <w:p>
      <w:pPr>
        <w:ind w:right="23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 you and your investors if you or your subsidiaries: (i) do not receive or maintain such</w:t>
      </w:r>
    </w:p>
    <w:p>
      <w:pPr>
        <w:ind w:right="255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permissions or approvals, (ii) inadvertently conclude that such permissions or approvals</w:t>
      </w:r>
    </w:p>
    <w:p>
      <w:pPr>
        <w:ind w:right="297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are not required, or (iii) applicable laws, regulations, or interpretations change and you are</w:t>
      </w: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required to obtain such permissions or approvals in the future.</w:t>
      </w:r>
    </w:p>
    <w:p>
      <w:pPr>
        <w:spacing w:after="0" w:line="183" w:lineRule="exact"/>
        <w:rPr>
          <w:sz w:val="20"/>
          <w:szCs w:val="20"/>
          <w:color w:val="auto"/>
        </w:rPr>
      </w:pPr>
    </w:p>
    <w:p>
      <w:pPr>
        <w:ind w:right="2239" w:firstLine="948"/>
        <w:spacing w:after="0" w:line="24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Additionally, please disclose whether you relied on the opinion of counsel with regards to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right="181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this disclosure and, if so, name counsel and file a consent of counsel as an exhibit. If you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55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have not relied upon an opinion of counsel with respect to this disclosure, please state as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23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much, explain why such an opinion was not obtained and provide the basis for your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determinations in this regard.</w:t>
      </w:r>
    </w:p>
    <w:p>
      <w:pPr>
        <w:ind w:right="2239" w:firstLine="8"/>
        <w:spacing w:after="0" w:line="238" w:lineRule="auto"/>
        <w:tabs>
          <w:tab w:leader="none" w:pos="948" w:val="left"/>
        </w:tabs>
        <w:numPr>
          <w:ilvl w:val="0"/>
          <w:numId w:val="9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 the third bullet of the Risks Related to Doing Business in Hong Kong section of your</w:t>
      </w:r>
    </w:p>
    <w:p>
      <w:pPr>
        <w:ind w:right="275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summary of risk factors, discuss that risks and uncertainties regarding the enforcement of</w:t>
      </w:r>
    </w:p>
    <w:p>
      <w:pPr>
        <w:ind w:right="24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laws arise because the rules and regulations in China can change quickly with little</w:t>
      </w:r>
    </w:p>
    <w:p>
      <w:pPr>
        <w:ind w:right="22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advance notice; state that the Chinese government may intervene or influence your</w:t>
      </w:r>
    </w:p>
    <w:p>
      <w:pPr>
        <w:ind w:right="24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operations at any time, or may exert more control over offerings conducted overseas</w:t>
      </w:r>
    </w:p>
    <w:p>
      <w:pPr>
        <w:ind w:right="20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and/or foreign investment in China-based issuers, which could result in a material change</w:t>
      </w:r>
    </w:p>
    <w:p>
      <w:pPr>
        <w:ind w:right="275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 your operations and/or the value of the securities you are registering for sale; and state</w:t>
      </w:r>
    </w:p>
    <w:p>
      <w:pPr>
        <w:ind w:right="18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that any actions by the Chinese government to exert more oversight and control over</w:t>
      </w:r>
    </w:p>
    <w:p>
      <w:pPr>
        <w:ind w:right="22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offerings that are conducted overseas and/or foreign investment in China- or Hong Kong-</w:t>
      </w:r>
    </w:p>
    <w:p>
      <w:pPr>
        <w:ind w:right="23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based issuers could significantly limit or completely hinder your ability to offer or</w:t>
      </w:r>
    </w:p>
    <w:p>
      <w:pPr>
        <w:ind w:right="19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continue to offer securities to investors and cause the value of such securities to</w:t>
      </w:r>
    </w:p>
    <w:p>
      <w:pPr>
        <w:ind w:left="120" w:right="5179" w:firstLine="842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significantly decline or be worthless. Prashant Aggarwal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MoneyHeroLastNamePrashant  Aggarwal</w:t>
      </w:r>
    </w:p>
    <w:p>
      <w:pPr>
        <w:ind w:left="148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Ltd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July 5, 2023NameMoneyHero Ltd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July 5,5 2023 Page 5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Parties to the Business Combination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CGCL, page 35</w:t>
      </w:r>
    </w:p>
    <w:p>
      <w:pPr>
        <w:spacing w:after="0" w:line="182" w:lineRule="exact"/>
        <w:rPr>
          <w:sz w:val="20"/>
          <w:szCs w:val="20"/>
          <w:color w:val="auto"/>
        </w:rPr>
      </w:pPr>
    </w:p>
    <w:p>
      <w:pPr>
        <w:ind w:right="2239" w:firstLine="8"/>
        <w:spacing w:after="0" w:line="249" w:lineRule="auto"/>
        <w:tabs>
          <w:tab w:leader="none" w:pos="948" w:val="left"/>
        </w:tabs>
        <w:numPr>
          <w:ilvl w:val="0"/>
          <w:numId w:val="10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 the fourth paragraph under this heading, you describe MoneyHero Group's main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business pillars as being tied to the company's websites and ability for consumers to</w:t>
      </w:r>
    </w:p>
    <w:p>
      <w:pPr>
        <w:ind w:right="21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access online content. Please revise your disclosure here and where appropriate, for</w:t>
      </w:r>
    </w:p>
    <w:p>
      <w:pPr>
        <w:ind w:right="23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example, in the section of your proxy statement/prospectus titled "Information Related to</w:t>
      </w:r>
    </w:p>
    <w:p>
      <w:pPr>
        <w:ind w:right="21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MoneyHero Group" to disclose the company websites providing the online platform of</w:t>
      </w:r>
    </w:p>
    <w:p>
      <w:pPr>
        <w:ind w:right="21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services and other business operations provided by MoneyHero Group. Bridgetown, page 36</w:t>
      </w:r>
    </w:p>
    <w:p>
      <w:pPr>
        <w:sectPr>
          <w:pgSz w:w="11900" w:h="16838" w:orient="portrait"/>
          <w:cols w:equalWidth="0" w:num="1">
            <w:col w:w="10139"/>
          </w:cols>
          <w:pgMar w:left="320" w:top="118" w:right="1440" w:bottom="0" w:gutter="0" w:footer="0" w:header="0"/>
        </w:sectPr>
      </w:pPr>
    </w:p>
    <w:bookmarkStart w:id="4" w:name="page5"/>
    <w:bookmarkEnd w:id="4"/>
    <w:p>
      <w:pPr>
        <w:ind w:right="2979" w:firstLine="8"/>
        <w:spacing w:after="0" w:line="249" w:lineRule="auto"/>
        <w:tabs>
          <w:tab w:leader="none" w:pos="948" w:val="left"/>
        </w:tabs>
        <w:numPr>
          <w:ilvl w:val="0"/>
          <w:numId w:val="1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that funds in the Trust Account at being held in an interest-bearing demand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deposit account at Morgan Stanley, with Continental (Bridgetown's transfer agent)</w:t>
      </w:r>
    </w:p>
    <w:p>
      <w:pPr>
        <w:ind w:right="19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continuing to act as trustee until the earlier of the consummation of Bridgetown's initial</w:t>
      </w:r>
    </w:p>
    <w:p>
      <w:pPr>
        <w:ind w:right="21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business combination or its liquidation. Please clarify whether the trust assets are held in</w:t>
      </w:r>
    </w:p>
    <w:p>
      <w:pPr>
        <w:ind w:right="19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U.S. If the trust assets are located in the PRC/Hong Kong, please amend your</w:t>
      </w:r>
    </w:p>
    <w:p>
      <w:pPr>
        <w:ind w:right="24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 here and in the summary risk factors and risk factors sections to state that, to</w:t>
      </w:r>
    </w:p>
    <w:p>
      <w:pPr>
        <w:ind w:right="23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extent cash/assets is in the PRC/Hong Kong or a PRC/Hong Kong entity, the</w:t>
      </w:r>
    </w:p>
    <w:p>
      <w:pPr>
        <w:ind w:right="19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funds/assets may not be available to fund operations or for other use outside of the</w:t>
      </w:r>
    </w:p>
    <w:p>
      <w:pPr>
        <w:ind w:right="307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PRC/Hong Kong due to interventions in or the imposition of restrictions and limitations</w:t>
      </w:r>
    </w:p>
    <w:p>
      <w:pPr>
        <w:ind w:right="19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on the ability of you, your subsidiaries or other entities or parties to the Business</w:t>
      </w:r>
    </w:p>
    <w:p>
      <w:pPr>
        <w:ind w:right="23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Combination by the PRC government to transfer cash/assets. On the cover page, provide</w:t>
      </w: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cross-references to these other discussions.</w:t>
      </w:r>
    </w:p>
    <w:p>
      <w:pPr>
        <w:spacing w:after="0" w:line="183" w:lineRule="exact"/>
        <w:rPr>
          <w:sz w:val="20"/>
          <w:szCs w:val="20"/>
          <w:color w:val="auto"/>
        </w:rPr>
      </w:pPr>
    </w:p>
    <w:p>
      <w:pPr>
        <w:ind w:right="2019" w:firstLine="948"/>
        <w:spacing w:after="0" w:line="24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Additionally, please revise your disclosure to discuss whether there are limitations on your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right="243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ability to transfer cash between you, your subsidiaries or other entities or parties to the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01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Business Combination or investors. Provide a cross-reference to your discussion of this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75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issue in your summary, summary risk factors, and risk factors sections, as well.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Related Agreements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Fee Letter, page 42</w:t>
      </w:r>
    </w:p>
    <w:p>
      <w:pPr>
        <w:spacing w:after="0" w:line="183" w:lineRule="exact"/>
        <w:rPr>
          <w:sz w:val="20"/>
          <w:szCs w:val="20"/>
          <w:color w:val="auto"/>
        </w:rPr>
      </w:pPr>
    </w:p>
    <w:p>
      <w:pPr>
        <w:ind w:right="2859" w:firstLine="8"/>
        <w:spacing w:after="0" w:line="249" w:lineRule="auto"/>
        <w:tabs>
          <w:tab w:leader="none" w:pos="948" w:val="left"/>
        </w:tabs>
        <w:numPr>
          <w:ilvl w:val="0"/>
          <w:numId w:val="1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that concurrently with the execution of the Business Combination Agreement,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Sponsor and BTN Investments LLC ("BTN") issued the Fee Letter to PubCo</w:t>
      </w:r>
    </w:p>
    <w:p>
      <w:pPr>
        <w:spacing w:after="0" w:line="2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CGCL</w:t>
      </w:r>
    </w:p>
    <w:p>
      <w:pPr>
        <w:ind w:right="22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whereby each of the Sponsor and BTN agree to reimburse PubCo for a portion of</w:t>
      </w:r>
    </w:p>
    <w:p>
      <w:pPr>
        <w:ind w:right="22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transaction expenses if the amount of cash in the Trust Account is less than $82 million.</w:t>
      </w:r>
    </w:p>
    <w:p>
      <w:pPr>
        <w:ind w:right="22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your disclosure, where appropriate (e.g., Frequently Used Terms) to provide</w:t>
      </w:r>
    </w:p>
    <w:p>
      <w:pPr>
        <w:ind w:right="24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brief additional context for the entity BTN. For example, please describe the purpose or</w:t>
      </w:r>
    </w:p>
    <w:p>
      <w:pPr>
        <w:ind w:right="18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business of this entity, and its relationship to the Sponsor, PubCo or other parties to the</w:t>
      </w:r>
    </w:p>
    <w:p>
      <w:pPr>
        <w:ind w:right="6439" w:firstLine="948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Business Combination. Prashant Aggarwal FirstName MoneyHeroLastNamePrashant Aggarwal</w:t>
      </w:r>
    </w:p>
    <w:p>
      <w:pPr>
        <w:spacing w:after="0" w:line="197" w:lineRule="exact"/>
        <w:rPr>
          <w:sz w:val="20"/>
          <w:szCs w:val="20"/>
          <w:color w:val="auto"/>
        </w:rPr>
      </w:pP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Ltd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July 5, 2023NameMoneyHero Ltd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July 5,6 2023 Page 6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Selected Historical Financial Data of Bridgetown, page 65</w:t>
      </w:r>
    </w:p>
    <w:p>
      <w:pPr>
        <w:spacing w:after="0" w:line="182" w:lineRule="exact"/>
        <w:rPr>
          <w:sz w:val="20"/>
          <w:szCs w:val="20"/>
          <w:color w:val="auto"/>
        </w:rPr>
      </w:pPr>
    </w:p>
    <w:p>
      <w:pPr>
        <w:ind w:right="2119" w:firstLine="8"/>
        <w:spacing w:after="0" w:line="249" w:lineRule="auto"/>
        <w:tabs>
          <w:tab w:leader="none" w:pos="948" w:val="left"/>
        </w:tabs>
        <w:numPr>
          <w:ilvl w:val="0"/>
          <w:numId w:val="1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tell us why you excluded the year ended December 31, 2021 in your tabular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39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presentation of Statement of Operations data here. Risk Factors, page 73</w:t>
      </w:r>
    </w:p>
    <w:p>
      <w:pPr>
        <w:spacing w:after="0" w:line="183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8"/>
        <w:spacing w:after="0" w:line="249" w:lineRule="auto"/>
        <w:tabs>
          <w:tab w:leader="none" w:pos="948" w:val="left"/>
        </w:tabs>
        <w:numPr>
          <w:ilvl w:val="0"/>
          <w:numId w:val="1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include a risk factor discussing the material risks related to the exclusive forum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provision in the Amended PubCo Articles, including increased costs to bring a claim and</w:t>
      </w:r>
    </w:p>
    <w:p>
      <w:pPr>
        <w:ind w:right="265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that these provisions can discourage claims or limit investors ability to bring a claim in a</w:t>
      </w:r>
    </w:p>
    <w:p>
      <w:pPr>
        <w:ind w:right="23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judicial forum that they find favorable. Also state that there is uncertainty as to whether a</w:t>
      </w:r>
    </w:p>
    <w:p>
      <w:pPr>
        <w:ind w:right="18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court would enforce such provision in connection with claims under the Securities Act and</w:t>
      </w:r>
    </w:p>
    <w:p>
      <w:pPr>
        <w:ind w:right="22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that investors cannot waive compliance with the federal securities laws and the rules and</w:t>
      </w:r>
    </w:p>
    <w:p>
      <w:pPr>
        <w:ind w:right="18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regulations thereunder. In this regard, we note that Section 22 of the Securities Act</w:t>
      </w:r>
    </w:p>
    <w:p>
      <w:pPr>
        <w:sectPr>
          <w:pgSz w:w="11900" w:h="16838" w:orient="portrait"/>
          <w:cols w:equalWidth="0" w:num="1">
            <w:col w:w="10139"/>
          </w:cols>
          <w:pgMar w:left="320" w:top="320" w:right="1440" w:bottom="0" w:gutter="0" w:footer="0" w:header="0"/>
        </w:sectPr>
      </w:pPr>
    </w:p>
    <w:bookmarkStart w:id="5" w:name="page6"/>
    <w:bookmarkEnd w:id="5"/>
    <w:p>
      <w:pPr>
        <w:ind w:right="1919" w:firstLine="948"/>
        <w:spacing w:after="0" w:line="24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creates concurrent jurisdiction for federal and state courts over all suits brought to enforce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right="201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any duty or liability created by the Securities Act or the rules and regulations thereunder.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239" w:firstLine="8"/>
        <w:spacing w:after="0" w:line="238" w:lineRule="auto"/>
        <w:tabs>
          <w:tab w:leader="none" w:pos="948" w:val="left"/>
        </w:tabs>
        <w:numPr>
          <w:ilvl w:val="0"/>
          <w:numId w:val="1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include risk factor disclosure explaining whether there are laws/regulations in</w:t>
      </w:r>
    </w:p>
    <w:p>
      <w:pPr>
        <w:ind w:right="255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Hong Kong that result in oversight over data security, how this oversight impacts the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960"/>
        <w:spacing w:after="0"/>
        <w:tabs>
          <w:tab w:leader="none" w:pos="19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company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s business and the offering, and to what extent the company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believes that it is</w:t>
      </w:r>
    </w:p>
    <w:p>
      <w:pPr>
        <w:ind w:left="9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compliant with the regulations or policies that have been issued.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Risks Related to the MoneyHero Group's Business and Industry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19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Our success-based model is subject to risks that could have a material adverse effect..., page 76</w:t>
      </w:r>
    </w:p>
    <w:p>
      <w:pPr>
        <w:spacing w:after="0" w:line="183" w:lineRule="exact"/>
        <w:rPr>
          <w:sz w:val="20"/>
          <w:szCs w:val="20"/>
          <w:color w:val="auto"/>
        </w:rPr>
      </w:pPr>
    </w:p>
    <w:p>
      <w:pPr>
        <w:ind w:right="2659" w:firstLine="8"/>
        <w:spacing w:after="0" w:line="249" w:lineRule="auto"/>
        <w:tabs>
          <w:tab w:leader="none" w:pos="948" w:val="left"/>
        </w:tabs>
        <w:numPr>
          <w:ilvl w:val="0"/>
          <w:numId w:val="1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the body of this risk factor to discuss the risk associated with your business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model plainly and in commonly understood terms. In this regard, we note the first</w:t>
      </w:r>
    </w:p>
    <w:p>
      <w:pPr>
        <w:ind w:right="24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sentence in this risk factor, which states "[o]ur internet leads generation income is</w:t>
      </w:r>
    </w:p>
    <w:p>
      <w:pPr>
        <w:ind w:right="18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primarily success-based." Further, you state that "[t]he success-based nature of our fee</w:t>
      </w:r>
    </w:p>
    <w:p>
      <w:pPr>
        <w:ind w:right="24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structures also exposes us to fluctuations in approval rates..." Risks Related to Bridgetown and the Business Combination</w:t>
      </w:r>
    </w:p>
    <w:p>
      <w:pPr>
        <w:ind w:right="2019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Members of the Bridgetown Special Committee have interests that are different from, or in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addition to, and may conflict with..., page 106</w:t>
      </w:r>
    </w:p>
    <w:p>
      <w:pPr>
        <w:spacing w:after="0" w:line="183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8"/>
        <w:spacing w:after="0" w:line="249" w:lineRule="auto"/>
        <w:tabs>
          <w:tab w:leader="none" w:pos="948" w:val="left"/>
        </w:tabs>
        <w:numPr>
          <w:ilvl w:val="0"/>
          <w:numId w:val="1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the title of this risk factor to make clear that the interests of members of the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 w:right="1819"/>
        <w:spacing w:after="0" w:line="26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Bridgetown Special Committee and those of "Bridgetown shareholders and warrantholders" includes those interests of the Bridgetown's public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shareholders and</w:t>
      </w:r>
    </w:p>
    <w:p>
      <w:pPr>
        <w:ind w:right="21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warrant holders. Similarly, please revise the second to last bullet point in this risk factor</w:t>
      </w:r>
    </w:p>
    <w:p>
      <w:pPr>
        <w:ind w:right="22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 clearly reflect that it may be Bridgetown's public shareholders that receive a negative</w:t>
      </w:r>
    </w:p>
    <w:p>
      <w:pPr>
        <w:ind w:right="23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return on their investment in PubCo, not simply "other Bridgetown shareholders." Please</w:t>
      </w:r>
    </w:p>
    <w:p>
      <w:pPr>
        <w:ind w:right="20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make similar revisions throughout your proxy statement/prospectus as appropriate to</w:t>
      </w:r>
    </w:p>
    <w:p>
      <w:pPr>
        <w:ind w:right="19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clearly state when you are referring to potential investment or other impacts to</w:t>
      </w:r>
    </w:p>
    <w:p>
      <w:pPr>
        <w:ind w:left="120" w:right="5699" w:firstLine="842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Bridgetown's public shareholders. Prashant Aggarwal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MoneyHeroLastNamePrashant  Aggarwal</w:t>
      </w:r>
    </w:p>
    <w:p>
      <w:pPr>
        <w:ind w:left="148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Ltd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July 5, 2023NameMoneyHero Ltd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July 5,7 2023 Page 7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Risks Related to PubCo and Its Securities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23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PubCo may redeem your unexpired PubCo Warrants prior to their exercise at a time that is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disadvantageous to you..., page 128</w:t>
      </w:r>
    </w:p>
    <w:p>
      <w:pPr>
        <w:spacing w:after="0" w:line="182" w:lineRule="exact"/>
        <w:rPr>
          <w:sz w:val="20"/>
          <w:szCs w:val="20"/>
          <w:color w:val="auto"/>
        </w:rPr>
      </w:pPr>
    </w:p>
    <w:p>
      <w:pPr>
        <w:ind w:right="2659" w:firstLine="8"/>
        <w:spacing w:after="0" w:line="249" w:lineRule="auto"/>
        <w:tabs>
          <w:tab w:leader="none" w:pos="948" w:val="left"/>
        </w:tabs>
        <w:numPr>
          <w:ilvl w:val="0"/>
          <w:numId w:val="16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highlight the material risks to public warrant holders, including those arising from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4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differences between private and public warrants. Clarify whether recent common stock</w:t>
      </w:r>
    </w:p>
    <w:p>
      <w:pPr>
        <w:ind w:right="21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trading prices exceed the threshold that would allow the company to redeem public</w:t>
      </w:r>
    </w:p>
    <w:p>
      <w:pPr>
        <w:ind w:right="19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warrants. Clearly explain the steps, if any, the company will take to notify all</w:t>
      </w:r>
    </w:p>
    <w:p>
      <w:pPr>
        <w:ind w:right="18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shareholders, including beneficial owners, regarding when the warrants become eligible</w:t>
      </w: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 redemption.</w:t>
      </w:r>
    </w:p>
    <w:p>
      <w:pPr>
        <w:ind w:right="6559"/>
        <w:spacing w:after="0" w:line="296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The Business Combination Proposal Organizational Structure, page 163</w:t>
      </w:r>
    </w:p>
    <w:p>
      <w:pPr>
        <w:spacing w:after="0" w:line="140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659" w:firstLine="8"/>
        <w:spacing w:after="0" w:line="249" w:lineRule="auto"/>
        <w:tabs>
          <w:tab w:leader="none" w:pos="948" w:val="left"/>
        </w:tabs>
        <w:numPr>
          <w:ilvl w:val="0"/>
          <w:numId w:val="16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your organizational structure diagram to reflect Bridgetown Public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Stockholders as a separate group from Bridgetown insiders, including the Sponsor,</w:t>
      </w:r>
    </w:p>
    <w:p>
      <w:pPr>
        <w:ind w:right="22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officers and directors. Additionally, please revise the simplified version of the ownership</w:t>
      </w:r>
    </w:p>
    <w:p>
      <w:pPr>
        <w:ind w:right="24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structure immediately following the consummation of the Business Combination to reflect</w:t>
      </w:r>
    </w:p>
    <w:p>
      <w:pPr>
        <w:sectPr>
          <w:pgSz w:w="11900" w:h="16838" w:orient="portrait"/>
          <w:cols w:equalWidth="0" w:num="1">
            <w:col w:w="10139"/>
          </w:cols>
          <w:pgMar w:left="320" w:top="118" w:right="1440" w:bottom="0" w:gutter="0" w:footer="0" w:header="0"/>
        </w:sectPr>
      </w:pPr>
    </w:p>
    <w:bookmarkStart w:id="6" w:name="page7"/>
    <w:bookmarkEnd w:id="6"/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the respective ownership interests and voting power of each entity or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group of</w:t>
      </w:r>
    </w:p>
    <w:p>
      <w:pPr>
        <w:ind w:right="181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shareholders (i.e., public or insiders). Finally, for clarity, we note the use of the defined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01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terms when referring to certain entities (e.g., PubCo). However, for additional clarity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11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include the name of the entity so investors in this offering can understand where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within your organizational structure their holdings originate.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Background of the Business Combination, page 166</w:t>
      </w:r>
    </w:p>
    <w:p>
      <w:pPr>
        <w:spacing w:after="0" w:line="183" w:lineRule="exact"/>
        <w:rPr>
          <w:sz w:val="20"/>
          <w:szCs w:val="20"/>
          <w:color w:val="auto"/>
        </w:rPr>
      </w:pPr>
    </w:p>
    <w:p>
      <w:pPr>
        <w:ind w:right="2339" w:firstLine="8"/>
        <w:spacing w:after="0" w:line="249" w:lineRule="auto"/>
        <w:tabs>
          <w:tab w:leader="none" w:pos="948" w:val="left"/>
        </w:tabs>
        <w:numPr>
          <w:ilvl w:val="0"/>
          <w:numId w:val="17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 the third paragraph from the top of this page, you discuss two other companies with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which Bridgetown signed a non-binding letter of intent other than the MoneyHero Group.</w:t>
      </w:r>
    </w:p>
    <w:p>
      <w:pPr>
        <w:ind w:right="21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this discussion to provide dates around the timing of these respective non-</w:t>
      </w:r>
    </w:p>
    <w:p>
      <w:pPr>
        <w:ind w:right="20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binding letters of intent and the reasons for your determination not to pursue a business</w:t>
      </w: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combination with either entity.</w:t>
      </w:r>
    </w:p>
    <w:p>
      <w:pPr>
        <w:ind w:right="2439" w:firstLine="8"/>
        <w:spacing w:after="0" w:line="238" w:lineRule="auto"/>
        <w:tabs>
          <w:tab w:leader="none" w:pos="948" w:val="left"/>
        </w:tabs>
        <w:numPr>
          <w:ilvl w:val="0"/>
          <w:numId w:val="17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that on December 7, 2021, representatives from MoneyHero Group, Bridgetown</w:t>
      </w:r>
    </w:p>
    <w:p>
      <w:pPr>
        <w:ind w:left="96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and Bridgetown's business due diligence advisors held an introductory</w:t>
      </w:r>
    </w:p>
    <w:p>
      <w:pPr>
        <w:spacing w:after="0" w:line="2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call and</w:t>
      </w:r>
    </w:p>
    <w:p>
      <w:pPr>
        <w:ind w:right="18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management presentation. Please expand your disclosure to discuss what was included in</w:t>
      </w:r>
    </w:p>
    <w:p>
      <w:pPr>
        <w:ind w:right="24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this management presentation in greater detail. We note that the presentation was</w:t>
      </w: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regarding MoneyHero Group's businesses and M&amp;A plans.</w:t>
      </w:r>
    </w:p>
    <w:p>
      <w:pPr>
        <w:ind w:right="2859" w:firstLine="8"/>
        <w:spacing w:after="0" w:line="238" w:lineRule="auto"/>
        <w:tabs>
          <w:tab w:leader="none" w:pos="948" w:val="left"/>
        </w:tabs>
        <w:numPr>
          <w:ilvl w:val="0"/>
          <w:numId w:val="17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that between January 26, 2022 and mid-November 2022, Bridgetown searched</w:t>
      </w:r>
    </w:p>
    <w:p>
      <w:pPr>
        <w:ind w:right="20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 other prospective business combination candidates. Please revise this paragraph to</w:t>
      </w:r>
    </w:p>
    <w:p>
      <w:pPr>
        <w:ind w:right="22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discuss in greater detail efforts made by Bridgetown to identify a target company,</w:t>
      </w:r>
    </w:p>
    <w:p>
      <w:pPr>
        <w:ind w:right="21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including whether the company engaged in discussion or entered into any letters of intent</w:t>
      </w:r>
    </w:p>
    <w:p>
      <w:pPr>
        <w:ind w:right="23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or otherwise with other potential targets. We note the passage of approximately ten</w:t>
      </w:r>
    </w:p>
    <w:p>
      <w:pPr>
        <w:ind w:left="120" w:right="6659" w:firstLine="842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months during this time. Prashant Aggarwal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MoneyHeroLastNamePrashant  Aggarwal</w:t>
      </w:r>
    </w:p>
    <w:p>
      <w:pPr>
        <w:ind w:left="148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Ltd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July 5, 2023NameMoneyHero Ltd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July 5,8 2023 Page 8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ind w:right="2439" w:firstLine="8"/>
        <w:spacing w:after="0" w:line="238" w:lineRule="auto"/>
        <w:tabs>
          <w:tab w:leader="none" w:pos="948" w:val="left"/>
        </w:tabs>
        <w:numPr>
          <w:ilvl w:val="0"/>
          <w:numId w:val="18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that subsequent to the January 10, 2023 conference call, Kirkland and Skadden</w:t>
      </w:r>
    </w:p>
    <w:p>
      <w:pPr>
        <w:ind w:right="19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continued to follow up on transaction structuring. Please expand your disclosure here to</w:t>
      </w:r>
    </w:p>
    <w:p>
      <w:pPr>
        <w:ind w:right="285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discuss in greater detail what terms or other aspects of the transaction structure were</w:t>
      </w: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discussed and what changes, if any, resulted.</w:t>
      </w:r>
    </w:p>
    <w:p>
      <w:pPr>
        <w:ind w:right="2019" w:firstLine="8"/>
        <w:spacing w:after="0" w:line="238" w:lineRule="auto"/>
        <w:tabs>
          <w:tab w:leader="none" w:pos="948" w:val="left"/>
        </w:tabs>
        <w:numPr>
          <w:ilvl w:val="0"/>
          <w:numId w:val="18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your disclosure to make clear the five instances where the Financial</w:t>
      </w:r>
    </w:p>
    <w:p>
      <w:pPr>
        <w:ind w:right="275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Projections prepared by the MoneyHero Group's management were discussed. We note</w:t>
      </w:r>
    </w:p>
    <w:p>
      <w:pPr>
        <w:ind w:right="20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that on page 199 you state that "Bridgetown and the MoneyHero Group, in addition to</w:t>
      </w:r>
    </w:p>
    <w:p>
      <w:pPr>
        <w:ind w:right="21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various email communication about due diligence requests, held five video conference</w:t>
      </w:r>
    </w:p>
    <w:p>
      <w:pPr>
        <w:ind w:right="19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due diligence sessions to discuss the Financial Projections." We note that in numerous</w:t>
      </w:r>
    </w:p>
    <w:p>
      <w:pPr>
        <w:ind w:right="255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instances in this section you reference "financial projections" discussed, for example, on</w:t>
      </w:r>
    </w:p>
    <w:p>
      <w:pPr>
        <w:ind w:right="21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April 4, 2023; April 5, 2023; April 14, 2023; April 17, 2023; April 18, 2023 and April 21,</w:t>
      </w:r>
    </w:p>
    <w:p>
      <w:pPr>
        <w:ind w:right="18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2023. Please clarify whether such "financial projections" are the same as the Financial</w:t>
      </w:r>
    </w:p>
    <w:p>
      <w:pPr>
        <w:ind w:right="275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Projections, a single set of projections contained within the Financial Projections prepared</w:t>
      </w:r>
    </w:p>
    <w:p>
      <w:pPr>
        <w:ind w:right="24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by MoneyHero Group's management, or otherwise, so that investors understand which</w:t>
      </w: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set(s) of projections were considered by Bridgetown.</w:t>
      </w:r>
    </w:p>
    <w:p>
      <w:pPr>
        <w:ind w:right="1819" w:firstLine="8"/>
        <w:spacing w:after="0" w:line="238" w:lineRule="auto"/>
        <w:tabs>
          <w:tab w:leader="none" w:pos="948" w:val="left"/>
        </w:tabs>
        <w:numPr>
          <w:ilvl w:val="0"/>
          <w:numId w:val="18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that in connection with Bridgetown's IPO, an entity affiliated with Thiel Capital</w:t>
      </w:r>
    </w:p>
    <w:p>
      <w:pPr>
        <w:ind w:right="20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entered into a forward purchase agreement with Sponsor, agreeing to, among other things,</w:t>
      </w:r>
    </w:p>
    <w:p>
      <w:pPr>
        <w:sectPr>
          <w:pgSz w:w="11900" w:h="16838" w:orient="portrait"/>
          <w:cols w:equalWidth="0" w:num="1">
            <w:col w:w="10139"/>
          </w:cols>
          <w:pgMar w:left="320" w:top="118" w:right="1440" w:bottom="0" w:gutter="0" w:footer="0" w:header="0"/>
        </w:sectPr>
      </w:pPr>
    </w:p>
    <w:bookmarkStart w:id="7" w:name="page8"/>
    <w:bookmarkEnd w:id="7"/>
    <w:p>
      <w:pPr>
        <w:ind w:right="2439" w:firstLine="948"/>
        <w:spacing w:after="0" w:line="24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purchase 60% of the outstanding securities in Bridgetown held by Sponsor which remain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right="211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outstanding following the consummation of the Business Combination, provided that any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01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such securities shall remain subject to any lockup, escrow, transfer or other restrictions to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97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which they are otherwise subject. Please highlight material differences in the terms and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33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price of securities at the time of the IPO as compared to private placements contemplated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at the time of the Business Combination.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Certain Engagement in Connection with the Business Combination and Related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Transactions,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186</w:t>
      </w:r>
    </w:p>
    <w:p>
      <w:pPr>
        <w:spacing w:after="0" w:line="182" w:lineRule="exact"/>
        <w:rPr>
          <w:sz w:val="20"/>
          <w:szCs w:val="20"/>
          <w:color w:val="auto"/>
        </w:rPr>
      </w:pPr>
    </w:p>
    <w:p>
      <w:pPr>
        <w:ind w:right="1819" w:firstLine="8"/>
        <w:spacing w:after="0" w:line="249" w:lineRule="auto"/>
        <w:tabs>
          <w:tab w:leader="none" w:pos="948" w:val="left"/>
        </w:tabs>
        <w:numPr>
          <w:ilvl w:val="0"/>
          <w:numId w:val="19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that Houlihan Capital was engaged on a fixed fee basis. Please disclose the fees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75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Houlihan Capital will receive upon completion of the Business Combination and any</w:t>
      </w:r>
    </w:p>
    <w:p>
      <w:pPr>
        <w:ind w:right="19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amount that is contingent upon completion of the transaction. We note that 25% of the fee</w:t>
      </w:r>
    </w:p>
    <w:p>
      <w:pPr>
        <w:ind w:right="19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payable to Houlihan is conditioned upon the occurrence of the closing of the Business</w:t>
      </w:r>
    </w:p>
    <w:p>
      <w:pPr>
        <w:ind w:right="7279" w:firstLine="948"/>
        <w:spacing w:after="0" w:line="26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Combination. Material Tax Considerations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U.S. Federal Income Tax Considerations, page 208</w:t>
      </w:r>
    </w:p>
    <w:p>
      <w:pPr>
        <w:spacing w:after="0" w:line="183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8"/>
        <w:spacing w:after="0" w:line="249" w:lineRule="auto"/>
        <w:tabs>
          <w:tab w:leader="none" w:pos="948" w:val="left"/>
        </w:tabs>
        <w:numPr>
          <w:ilvl w:val="0"/>
          <w:numId w:val="19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disclose whether, in counsel's opinion, the Initial Merger will qualify as an F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Reorganization. If counsel opines that the Initial Merger "should" or is "more likely than</w:t>
      </w:r>
    </w:p>
    <w:p>
      <w:pPr>
        <w:ind w:right="18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not" to so qualify, please explain the reasons for some uncertainty in the opinion and</w:t>
      </w:r>
    </w:p>
    <w:p>
      <w:pPr>
        <w:ind w:right="265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provide appropriate risk factor disclosure describing risks to investors of uncertain tax</w:t>
      </w:r>
    </w:p>
    <w:p>
      <w:pPr>
        <w:ind w:right="22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treatment. Also, if counsel will provide a short-form tax opinion, please revise to state, if</w:t>
      </w:r>
    </w:p>
    <w:p>
      <w:pPr>
        <w:ind w:right="20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true, that this discussion constitutes the opinion of counsel. Refer to Staff Legal Bulletin</w:t>
      </w:r>
    </w:p>
    <w:p>
      <w:pPr>
        <w:ind w:left="120" w:right="6239" w:firstLine="842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No. 19 for further guidance. Prashant Aggarwal</w:t>
      </w:r>
    </w:p>
    <w:p>
      <w:pPr>
        <w:ind w:right="8759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MoneyHero Ltd July 5, 2023 Page 9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Unaudited Pro Forma Condensed Combined Financial Statements</w:t>
      </w:r>
    </w:p>
    <w:p>
      <w:pPr>
        <w:ind w:right="2979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Notes to Unaudited Pro Forma Condensed Combined Financial Statements Transaction Accounting Adjustments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Footnote H, page 226</w:t>
      </w:r>
    </w:p>
    <w:p>
      <w:pPr>
        <w:spacing w:after="0" w:line="183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8"/>
        <w:spacing w:after="0" w:line="249" w:lineRule="auto"/>
        <w:tabs>
          <w:tab w:leader="none" w:pos="948" w:val="left"/>
        </w:tabs>
        <w:numPr>
          <w:ilvl w:val="0"/>
          <w:numId w:val="19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 appears there is a typographical error in your disclosure of the number of CGCL Class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 Warrants. Specifically, it appears the number should be 20,652,495. Overview, page 259</w:t>
      </w:r>
    </w:p>
    <w:p>
      <w:pPr>
        <w:spacing w:after="0" w:line="183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8"/>
        <w:spacing w:after="0" w:line="249" w:lineRule="auto"/>
        <w:tabs>
          <w:tab w:leader="none" w:pos="948" w:val="left"/>
        </w:tabs>
        <w:numPr>
          <w:ilvl w:val="0"/>
          <w:numId w:val="19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that in the first sentence of the fourth paragraph in this section you refer to "113.7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million Traffic" and note your definition of the term "Traffic" within your Frequently</w:t>
      </w:r>
    </w:p>
    <w:p>
      <w:pPr>
        <w:ind w:right="22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Used Terms. However, please revise your disclosure for clarity and consistency, for</w:t>
      </w: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example, to state "113.7 million Traffic sessions" throughout your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proxy</w:t>
      </w: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statement/prospectus.</w:t>
      </w:r>
    </w:p>
    <w:p>
      <w:pPr>
        <w:ind w:right="1919" w:firstLine="8"/>
        <w:spacing w:after="0" w:line="238" w:lineRule="auto"/>
        <w:tabs>
          <w:tab w:leader="none" w:pos="948" w:val="left"/>
        </w:tabs>
        <w:numPr>
          <w:ilvl w:val="0"/>
          <w:numId w:val="19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At the beginning of the last paragraph at the bottom of page 260, you disclose the</w:t>
      </w:r>
    </w:p>
    <w:p>
      <w:pPr>
        <w:ind w:right="255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percentage of 2022 total revenue attributed to several business activities, including</w:t>
      </w:r>
    </w:p>
    <w:p>
      <w:pPr>
        <w:ind w:right="22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"internet leads generation" and "marketing service income." Please revise your disclosure</w:t>
      </w:r>
    </w:p>
    <w:p>
      <w:pPr>
        <w:ind w:right="21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here and where appropriate to briefly describe the meaning of these terms and how the</w:t>
      </w: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related activities generate income.</w:t>
      </w:r>
    </w:p>
    <w:p>
      <w:pPr>
        <w:ind w:right="1819" w:firstLine="8"/>
        <w:spacing w:after="0" w:line="238" w:lineRule="auto"/>
        <w:tabs>
          <w:tab w:leader="none" w:pos="948" w:val="left"/>
        </w:tabs>
        <w:numPr>
          <w:ilvl w:val="0"/>
          <w:numId w:val="19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 the extent possible, disclose the percentage of your organization's assets that are</w:t>
      </w:r>
    </w:p>
    <w:p>
      <w:pPr>
        <w:ind w:right="4019" w:firstLine="948"/>
        <w:spacing w:after="0" w:line="296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located in Hong Kong and other jurisdictions. High-Quality and Complex Commercial Partnerships, page 262</w:t>
      </w:r>
    </w:p>
    <w:p>
      <w:pPr>
        <w:spacing w:after="0" w:line="140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8"/>
        <w:spacing w:after="0" w:line="249" w:lineRule="auto"/>
        <w:tabs>
          <w:tab w:leader="none" w:pos="948" w:val="left"/>
        </w:tabs>
        <w:numPr>
          <w:ilvl w:val="0"/>
          <w:numId w:val="19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disclosure regarding how your have "built deep alliances and bespoke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integrations" with your commercial partners and how this translates to a series of</w:t>
      </w:r>
    </w:p>
    <w:p>
      <w:pPr>
        <w:sectPr>
          <w:pgSz w:w="11900" w:h="16838" w:orient="portrait"/>
          <w:cols w:equalWidth="0" w:num="1">
            <w:col w:w="10139"/>
          </w:cols>
          <w:pgMar w:left="320" w:top="118" w:right="1440" w:bottom="0" w:gutter="0" w:footer="0" w:header="0"/>
        </w:sectPr>
      </w:pPr>
    </w:p>
    <w:bookmarkStart w:id="8" w:name="page9"/>
    <w:bookmarkEnd w:id="8"/>
    <w:p>
      <w:pPr>
        <w:ind w:right="2019" w:firstLine="948"/>
        <w:spacing w:after="0" w:line="24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activities, including rewards management and a deep understanding of your commercial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right="223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partners' "strategic acquisition requirements." Please revise this section and elsewhere as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01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appropriate to provide an example of these activities in plain terms as tied to your business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model.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Content and Channel Partners, page 265</w:t>
      </w:r>
    </w:p>
    <w:p>
      <w:pPr>
        <w:spacing w:after="0" w:line="183" w:lineRule="exact"/>
        <w:rPr>
          <w:sz w:val="20"/>
          <w:szCs w:val="20"/>
          <w:color w:val="auto"/>
        </w:rPr>
      </w:pPr>
    </w:p>
    <w:p>
      <w:pPr>
        <w:ind w:right="3079" w:firstLine="8"/>
        <w:spacing w:after="0" w:line="249" w:lineRule="auto"/>
        <w:tabs>
          <w:tab w:leader="none" w:pos="842" w:val="left"/>
        </w:tabs>
        <w:numPr>
          <w:ilvl w:val="0"/>
          <w:numId w:val="20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that the first paragraph of this section relates to "monetization opportunity."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842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this section and elsewhere as appropriate to make clear how your Creatory</w:t>
      </w:r>
    </w:p>
    <w:p>
      <w:pPr>
        <w:ind w:right="2439" w:firstLine="842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platform or other products result in monetization and, therefore, revenue generation for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LastNamePrashant Aggarwal</w:t>
      </w:r>
    </w:p>
    <w:p>
      <w:pPr>
        <w:ind w:right="2339" w:firstLine="842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MoneyHero. We note that you provide a platform for your commercial partners in the</w:t>
      </w:r>
    </w:p>
    <w:p>
      <w:pPr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</w:t>
      </w:r>
      <w:r>
        <w:rPr>
          <w:rFonts w:ascii="Courier New" w:cs="Courier New" w:eastAsia="Courier New" w:hAnsi="Courier New"/>
          <w:sz w:val="16"/>
          <w:szCs w:val="16"/>
          <w:color w:val="auto"/>
        </w:rPr>
        <w:t>NameMoneyHero</w:t>
      </w:r>
    </w:p>
    <w:p>
      <w:pPr>
        <w:ind w:left="860"/>
        <w:spacing w:after="0" w:line="238" w:lineRule="auto"/>
        <w:tabs>
          <w:tab w:leader="none" w:pos="346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financial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Ltd however, there is a lack of clarity and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specificity around</w:t>
      </w:r>
    </w:p>
    <w:p>
      <w:pPr>
        <w:ind w:left="1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services industry,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July 5, MoneyHero's</w:t>
      </w:r>
    </w:p>
    <w:p>
      <w:pPr>
        <w:ind w:left="8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2023 Page 9 revenue generating activities.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ind w:left="1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Prashant Aggarwal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</w:t>
      </w:r>
    </w:p>
    <w:p>
      <w:pPr>
        <w:spacing w:after="0" w:line="238" w:lineRule="auto"/>
        <w:tabs>
          <w:tab w:leader="none" w:pos="28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MoneyHeroLastNamePrashant</w:t>
        <w:tab/>
        <w:t>Aggarwal</w:t>
      </w:r>
    </w:p>
    <w:p>
      <w:pPr>
        <w:ind w:left="148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Ltd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July 5, 2023NameMoneyHero Ltd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July 5,102023 Page 10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Marketing, page 274</w:t>
      </w:r>
    </w:p>
    <w:p>
      <w:pPr>
        <w:spacing w:after="0" w:line="183" w:lineRule="exact"/>
        <w:rPr>
          <w:sz w:val="20"/>
          <w:szCs w:val="20"/>
          <w:color w:val="auto"/>
        </w:rPr>
      </w:pPr>
    </w:p>
    <w:p>
      <w:pPr>
        <w:ind w:right="2019" w:firstLine="8"/>
        <w:spacing w:after="0" w:line="249" w:lineRule="auto"/>
        <w:tabs>
          <w:tab w:leader="none" w:pos="948" w:val="left"/>
        </w:tabs>
        <w:numPr>
          <w:ilvl w:val="0"/>
          <w:numId w:val="2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discussion here and in your risk factors regarding your employment of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"rewards and gifts" as a way to attract Traffic and convert Traffic into Applications.</w:t>
      </w:r>
    </w:p>
    <w:p>
      <w:pPr>
        <w:ind w:right="21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expand your disclosure here and where appropriate to briefly describe in greater</w:t>
      </w:r>
    </w:p>
    <w:p>
      <w:pPr>
        <w:ind w:right="285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detail what these rewards and gifts consist of (e.g., money, incentives to further activities</w:t>
      </w:r>
    </w:p>
    <w:p>
      <w:pPr>
        <w:ind w:right="21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on your platform, credits etc.). In this regard, we also note that, while you have grown</w:t>
      </w:r>
    </w:p>
    <w:p>
      <w:pPr>
        <w:ind w:right="455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revenues, you continue to experience losses. Information Related to the MoneyHero Group Intellectual Property, page 276</w:t>
      </w:r>
    </w:p>
    <w:p>
      <w:pPr>
        <w:spacing w:after="0" w:line="183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8"/>
        <w:spacing w:after="0" w:line="249" w:lineRule="auto"/>
        <w:tabs>
          <w:tab w:leader="none" w:pos="948" w:val="left"/>
        </w:tabs>
        <w:numPr>
          <w:ilvl w:val="0"/>
          <w:numId w:val="2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to identify the jurisdictions in which the majority of your intellectual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property rights are held, as well as the jurisdictions in which the most material of your</w:t>
      </w: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intellectual property rights are held.</w:t>
      </w:r>
    </w:p>
    <w:p>
      <w:pPr>
        <w:ind w:right="2019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MoneyHero Group's Management's Discussion and Analysis of Financial Condition and Results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 Operations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Discussion of Results of Operations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Year ended December 31, 2022 compared to December 31, 2021, page 310</w:t>
      </w:r>
    </w:p>
    <w:p>
      <w:pPr>
        <w:spacing w:after="0" w:line="183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 w:hanging="952"/>
        <w:spacing w:after="0"/>
        <w:tabs>
          <w:tab w:leader="none" w:pos="960" w:val="left"/>
        </w:tabs>
        <w:numPr>
          <w:ilvl w:val="0"/>
          <w:numId w:val="21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Please review your comparative discussion here to ensure each material</w:t>
      </w:r>
    </w:p>
    <w:p>
      <w:pPr>
        <w:spacing w:after="0" w:line="40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fact,</w:t>
      </w:r>
    </w:p>
    <w:p>
      <w:pPr>
        <w:ind w:right="2339" w:firstLine="948"/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circumstance, or event cited as a source of variability period to period is quantified. For</w:t>
      </w:r>
    </w:p>
    <w:p>
      <w:pPr>
        <w:ind w:right="1819" w:firstLine="948"/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example, in your discussion of the increase in revenue, you state that the overall increase</w:t>
      </w:r>
    </w:p>
    <w:p>
      <w:pPr>
        <w:ind w:right="2559" w:firstLine="948"/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 revenue is primarily due to an increase in US$5.6 million in revenue from your internet</w:t>
      </w:r>
    </w:p>
    <w:p>
      <w:pPr>
        <w:ind w:right="2119" w:firstLine="948"/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leads generation and marketing service income as a result of market diversification</w:t>
      </w:r>
    </w:p>
    <w:p>
      <w:pPr>
        <w:ind w:right="2119" w:firstLine="948"/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achieved from growth in the Philippines and product diversification achieved from growth</w:t>
      </w:r>
    </w:p>
    <w:p>
      <w:pPr>
        <w:ind w:right="2019" w:firstLine="948"/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 insurance, but do not quantify those underlying reasons. Refer to the guidance in Item</w:t>
      </w:r>
    </w:p>
    <w:p>
      <w:pPr>
        <w:ind w:right="5399" w:firstLine="948"/>
        <w:spacing w:after="0" w:line="296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303(b)(2)(i) of Regulation S-K. Enforceability of Civil Liabilities, page 370</w:t>
      </w:r>
    </w:p>
    <w:p>
      <w:pPr>
        <w:spacing w:after="0" w:line="140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right="2239" w:firstLine="8"/>
        <w:spacing w:after="0" w:line="249" w:lineRule="auto"/>
        <w:tabs>
          <w:tab w:leader="none" w:pos="948" w:val="left"/>
        </w:tabs>
        <w:numPr>
          <w:ilvl w:val="0"/>
          <w:numId w:val="2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your disclosure to state whether one or more of your directors, officers, or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members of senior management are located in the PRC/Hong Kong. If that</w:t>
      </w:r>
    </w:p>
    <w:p>
      <w:pPr>
        <w:sectPr>
          <w:pgSz w:w="11900" w:h="16838" w:orient="portrait"/>
          <w:cols w:equalWidth="0" w:num="1">
            <w:col w:w="10139"/>
          </w:cols>
          <w:pgMar w:left="320" w:top="118" w:right="1440" w:bottom="0" w:gutter="0" w:footer="0" w:header="0"/>
        </w:sectPr>
      </w:pPr>
    </w:p>
    <w:bookmarkStart w:id="9" w:name="page10"/>
    <w:bookmarkEnd w:id="9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is the case, (i)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right="285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state that this is the case and identify the relevant individuals, and (ii) revise this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191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section, consistent with Item 101(g) of Regulation S-K, and include a risk factor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181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addressing the challenges of bringing actions and enforcing judgements against such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individuals (i.e., it will be much more difficult to take these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actions).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Exhibit 5.1</w:t>
      </w:r>
    </w:p>
    <w:p>
      <w:pPr>
        <w:spacing w:after="0" w:line="183" w:lineRule="exact"/>
        <w:rPr>
          <w:sz w:val="20"/>
          <w:szCs w:val="20"/>
          <w:color w:val="auto"/>
        </w:rPr>
      </w:pPr>
    </w:p>
    <w:p>
      <w:pPr>
        <w:ind w:right="2339" w:firstLine="8"/>
        <w:spacing w:after="0" w:line="249" w:lineRule="auto"/>
        <w:tabs>
          <w:tab w:leader="none" w:pos="948" w:val="left"/>
        </w:tabs>
        <w:numPr>
          <w:ilvl w:val="0"/>
          <w:numId w:val="2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the assumptions that the signatures "are those of a person or persons given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339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power to execute the Warrant Documents" and that "[a]ll documents...purporting to be</w:t>
      </w:r>
    </w:p>
    <w:p>
      <w:pPr>
        <w:ind w:right="22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signed...have been so signed" to exclude your client. In addition, please revise the seventh</w:t>
      </w:r>
    </w:p>
    <w:p>
      <w:pPr>
        <w:ind w:right="265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opinion to state that, not only the Warrant Documents, but the warrants themselves will</w:t>
      </w:r>
    </w:p>
    <w:p>
      <w:pPr>
        <w:ind w:right="8239" w:firstLine="105"/>
        <w:spacing w:after="0" w:line="282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Prashant Aggarwal MoneyHero Ltd July 5, 2023 Page 11</w:t>
      </w:r>
    </w:p>
    <w:p>
      <w:pPr>
        <w:spacing w:after="0" w:line="17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632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constitute binding obligations of the company enforceable in accordance with their</w:t>
      </w:r>
    </w:p>
    <w:p>
      <w:pPr>
        <w:ind w:right="1919" w:firstLine="632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respective terms. Also tell us whether an opinion regarding the warrants needs to be given</w:t>
      </w:r>
    </w:p>
    <w:p>
      <w:pPr>
        <w:ind w:right="2119" w:firstLine="632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under Hong Kong Law, given that the CGCL Class A Supplemental Deed and the CGCL</w:t>
      </w:r>
    </w:p>
    <w:p>
      <w:pPr>
        <w:ind w:right="3499" w:firstLine="632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Class C Supplemental Deeds are governed by Hong Kong law. General</w:t>
      </w:r>
    </w:p>
    <w:p>
      <w:pPr>
        <w:spacing w:after="0" w:line="183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8"/>
        <w:spacing w:after="0" w:line="249" w:lineRule="auto"/>
        <w:tabs>
          <w:tab w:leader="none" w:pos="632" w:val="left"/>
        </w:tabs>
        <w:numPr>
          <w:ilvl w:val="0"/>
          <w:numId w:val="2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With a view toward disclosure, please tell us whether your sponsor is, is controlled by,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439" w:firstLine="632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or has substantial ties with a non-U.S. person. Please also tell us whether anyone or</w:t>
      </w:r>
    </w:p>
    <w:p>
      <w:pPr>
        <w:ind w:right="1819" w:firstLine="632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any entity associated with or otherwise involved in the transaction, such as the target, is,</w:t>
      </w:r>
    </w:p>
    <w:p>
      <w:pPr>
        <w:ind w:right="1919" w:firstLine="632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is controlled by, or has substantial ties with a non-U.S. person. If so, also include risk</w:t>
      </w:r>
    </w:p>
    <w:p>
      <w:pPr>
        <w:ind w:right="1919" w:firstLine="632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factor disclosure that addresses how this fact could impact your ability to complete your</w:t>
      </w:r>
    </w:p>
    <w:p>
      <w:pPr>
        <w:ind w:right="1819" w:firstLine="632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initial business combination. For instance, discuss the risk to investors that you may not</w:t>
      </w:r>
    </w:p>
    <w:p>
      <w:pPr>
        <w:ind w:right="2119" w:firstLine="632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be able to complete an initial business combination with a U.S. target company should</w:t>
      </w:r>
    </w:p>
    <w:p>
      <w:pPr>
        <w:ind w:right="1819" w:firstLine="632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transaction be subject to review by a U.S. government entity, such as the Committee</w:t>
      </w:r>
    </w:p>
    <w:p>
      <w:pPr>
        <w:ind w:right="2659" w:firstLine="632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on Foreign Investment in the United States (CFIUS), or ultimately prohibited. Further,</w:t>
      </w:r>
    </w:p>
    <w:p>
      <w:pPr>
        <w:ind w:right="1919" w:firstLine="632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if applicable, disclose that the time necessary for government review of the transaction or</w:t>
      </w:r>
    </w:p>
    <w:p>
      <w:pPr>
        <w:ind w:right="1919" w:firstLine="632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 decision to prohibit the transaction could prevent you from completing an initial</w:t>
      </w:r>
    </w:p>
    <w:p>
      <w:pPr>
        <w:ind w:right="2859" w:firstLine="632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business combination and require you to liquidate. Disclose, if applicable, the</w:t>
      </w:r>
    </w:p>
    <w:p>
      <w:pPr>
        <w:ind w:right="2439" w:firstLine="632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consequences of liquidation to investors, such as the losses of the investment opportunity</w:t>
      </w:r>
    </w:p>
    <w:p>
      <w:pPr>
        <w:ind w:right="1919" w:firstLine="632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 a target company, any price appreciation in the combined company, and the warrants,</w:t>
      </w:r>
    </w:p>
    <w:p>
      <w:pPr>
        <w:ind w:left="64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which would expire worthless.</w:t>
      </w:r>
    </w:p>
    <w:p>
      <w:pPr>
        <w:ind w:right="2339" w:firstLine="8"/>
        <w:spacing w:after="0" w:line="238" w:lineRule="auto"/>
        <w:tabs>
          <w:tab w:leader="none" w:pos="632" w:val="left"/>
        </w:tabs>
        <w:numPr>
          <w:ilvl w:val="0"/>
          <w:numId w:val="2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Given that much of your operations and many of the members of senior management and</w:t>
      </w:r>
    </w:p>
    <w:p>
      <w:pPr>
        <w:ind w:right="2859" w:firstLine="632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 your employees are located in Hong Kong, please tell us what consideration you gave</w:t>
      </w:r>
    </w:p>
    <w:p>
      <w:pPr>
        <w:ind w:right="2119" w:firstLine="632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 discussing China's Enterprise Tax Law, as well as the related risks and consequences.</w:t>
      </w:r>
    </w:p>
    <w:p>
      <w:pPr>
        <w:ind w:left="74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You may contact Amy Geddes at 202-551-3304 or Lyn Shenk at 202-551-3380</w:t>
      </w:r>
    </w:p>
    <w:p>
      <w:pPr>
        <w:spacing w:after="0" w:line="2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if you</w:t>
      </w:r>
    </w:p>
    <w:p>
      <w:pPr>
        <w:ind w:right="2439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have questions regarding comments on the financial statements and related matters. Please</w:t>
      </w:r>
    </w:p>
    <w:p>
      <w:pPr>
        <w:ind w:right="1819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contact Kate Beukenkamp at 202-551-3861 or Lilyanna Peyser at 202-551-3222 with any other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questions.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88" w:lineRule="exact"/>
        <w:rPr>
          <w:sz w:val="20"/>
          <w:szCs w:val="20"/>
          <w:color w:val="auto"/>
        </w:rPr>
      </w:pP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LastNamePrashant Aggarwal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sectPr>
          <w:pgSz w:w="11900" w:h="16838" w:orient="portrait"/>
          <w:cols w:equalWidth="0" w:num="1">
            <w:col w:w="10139"/>
          </w:cols>
          <w:pgMar w:left="320" w:top="118" w:right="1440" w:bottom="0" w:gutter="0" w:footer="0" w:header="0"/>
        </w:sectPr>
      </w:pPr>
    </w:p>
    <w:bookmarkStart w:id="10" w:name="page11"/>
    <w:bookmarkEnd w:id="1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 NameMoneyHero Ltd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jc w:val="right"/>
        <w:ind w:right="20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Trade &amp;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Services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July 5, 2023 Page 11</w:t>
      </w:r>
    </w:p>
    <w:p>
      <w:pPr>
        <w:ind w:left="1060" w:hanging="1052"/>
        <w:spacing w:after="0"/>
        <w:tabs>
          <w:tab w:leader="none" w:pos="1060" w:val="left"/>
        </w:tabs>
        <w:numPr>
          <w:ilvl w:val="0"/>
          <w:numId w:val="2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Joseph Casey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sectPr>
      <w:pgSz w:w="11900" w:h="16838" w:orient="portrait"/>
      <w:cols w:equalWidth="0" w:num="1">
        <w:col w:w="10139"/>
      </w:cols>
      <w:pgMar w:left="320" w:top="118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EF438D"/>
    <w:multiLevelType w:val="hybridMultilevel"/>
    <w:lvl w:ilvl="0">
      <w:lvlJc w:val="left"/>
      <w:lvlText w:val="%1."/>
      <w:numFmt w:val="decimal"/>
      <w:start w:val="2"/>
    </w:lvl>
  </w:abstractNum>
  <w:abstractNum w:abstractNumId="1">
    <w:nsid w:val="140E0F76"/>
    <w:multiLevelType w:val="hybridMultilevel"/>
    <w:lvl w:ilvl="0">
      <w:lvlJc w:val="left"/>
      <w:lvlText w:val="%1."/>
      <w:numFmt w:val="decimal"/>
      <w:start w:val="3"/>
    </w:lvl>
  </w:abstractNum>
  <w:abstractNum w:abstractNumId="2">
    <w:nsid w:val="3352255A"/>
    <w:multiLevelType w:val="hybridMultilevel"/>
    <w:lvl w:ilvl="0">
      <w:lvlJc w:val="left"/>
      <w:lvlText w:val="%1."/>
      <w:numFmt w:val="decimal"/>
      <w:start w:val="6"/>
    </w:lvl>
  </w:abstractNum>
  <w:abstractNum w:abstractNumId="3">
    <w:nsid w:val="109CF92E"/>
    <w:multiLevelType w:val="hybridMultilevel"/>
    <w:lvl w:ilvl="0">
      <w:lvlJc w:val="left"/>
      <w:lvlText w:val="%1."/>
      <w:numFmt w:val="decimal"/>
      <w:start w:val="8"/>
    </w:lvl>
  </w:abstractNum>
  <w:abstractNum w:abstractNumId="4">
    <w:nsid w:val="DED7263"/>
    <w:multiLevelType w:val="hybridMultilevel"/>
    <w:lvl w:ilvl="0">
      <w:lvlJc w:val="left"/>
      <w:lvlText w:val="%1."/>
      <w:numFmt w:val="decimal"/>
      <w:start w:val="9"/>
    </w:lvl>
  </w:abstractNum>
  <w:abstractNum w:abstractNumId="5">
    <w:nsid w:val="7FDCC233"/>
    <w:multiLevelType w:val="hybridMultilevel"/>
    <w:lvl w:ilvl="0">
      <w:lvlJc w:val="left"/>
      <w:lvlText w:val="3"/>
      <w:numFmt w:val="bullet"/>
      <w:start w:val="1"/>
    </w:lvl>
  </w:abstractNum>
  <w:abstractNum w:abstractNumId="6">
    <w:nsid w:val="1BEFD79F"/>
    <w:multiLevelType w:val="hybridMultilevel"/>
    <w:lvl w:ilvl="0">
      <w:lvlJc w:val="left"/>
      <w:lvlText w:val="%1."/>
      <w:numFmt w:val="decimal"/>
      <w:start w:val="10"/>
    </w:lvl>
  </w:abstractNum>
  <w:abstractNum w:abstractNumId="7">
    <w:nsid w:val="41A7C4C9"/>
    <w:multiLevelType w:val="hybridMultilevel"/>
    <w:lvl w:ilvl="0">
      <w:lvlJc w:val="left"/>
      <w:lvlText w:val="%1."/>
      <w:numFmt w:val="decimal"/>
      <w:start w:val="11"/>
    </w:lvl>
  </w:abstractNum>
  <w:abstractNum w:abstractNumId="8">
    <w:nsid w:val="6B68079A"/>
    <w:multiLevelType w:val="hybridMultilevel"/>
    <w:lvl w:ilvl="0">
      <w:lvlJc w:val="left"/>
      <w:lvlText w:val="%1."/>
      <w:numFmt w:val="decimal"/>
      <w:start w:val="12"/>
    </w:lvl>
  </w:abstractNum>
  <w:abstractNum w:abstractNumId="9">
    <w:nsid w:val="4E6AFB66"/>
    <w:multiLevelType w:val="hybridMultilevel"/>
    <w:lvl w:ilvl="0">
      <w:lvlJc w:val="left"/>
      <w:lvlText w:val="%1."/>
      <w:numFmt w:val="decimal"/>
      <w:start w:val="13"/>
    </w:lvl>
  </w:abstractNum>
  <w:abstractNum w:abstractNumId="10">
    <w:nsid w:val="25E45D32"/>
    <w:multiLevelType w:val="hybridMultilevel"/>
    <w:lvl w:ilvl="0">
      <w:lvlJc w:val="left"/>
      <w:lvlText w:val="%1."/>
      <w:numFmt w:val="decimal"/>
      <w:start w:val="14"/>
    </w:lvl>
  </w:abstractNum>
  <w:abstractNum w:abstractNumId="11">
    <w:nsid w:val="519B500D"/>
    <w:multiLevelType w:val="hybridMultilevel"/>
    <w:lvl w:ilvl="0">
      <w:lvlJc w:val="left"/>
      <w:lvlText w:val="%1."/>
      <w:numFmt w:val="decimal"/>
      <w:start w:val="15"/>
    </w:lvl>
  </w:abstractNum>
  <w:abstractNum w:abstractNumId="12">
    <w:nsid w:val="431BD7B7"/>
    <w:multiLevelType w:val="hybridMultilevel"/>
    <w:lvl w:ilvl="0">
      <w:lvlJc w:val="left"/>
      <w:lvlText w:val="%1."/>
      <w:numFmt w:val="decimal"/>
      <w:start w:val="16"/>
    </w:lvl>
  </w:abstractNum>
  <w:abstractNum w:abstractNumId="13">
    <w:nsid w:val="3F2DBA31"/>
    <w:multiLevelType w:val="hybridMultilevel"/>
    <w:lvl w:ilvl="0">
      <w:lvlJc w:val="left"/>
      <w:lvlText w:val="%1."/>
      <w:numFmt w:val="decimal"/>
      <w:start w:val="18"/>
    </w:lvl>
  </w:abstractNum>
  <w:abstractNum w:abstractNumId="14">
    <w:nsid w:val="7C83E458"/>
    <w:multiLevelType w:val="hybridMultilevel"/>
    <w:lvl w:ilvl="0">
      <w:lvlJc w:val="left"/>
      <w:lvlText w:val="%1."/>
      <w:numFmt w:val="decimal"/>
      <w:start w:val="19"/>
    </w:lvl>
  </w:abstractNum>
  <w:abstractNum w:abstractNumId="15">
    <w:nsid w:val="257130A3"/>
    <w:multiLevelType w:val="hybridMultilevel"/>
    <w:lvl w:ilvl="0">
      <w:lvlJc w:val="left"/>
      <w:lvlText w:val="%1."/>
      <w:numFmt w:val="decimal"/>
      <w:start w:val="21"/>
    </w:lvl>
  </w:abstractNum>
  <w:abstractNum w:abstractNumId="16">
    <w:nsid w:val="62BBD95A"/>
    <w:multiLevelType w:val="hybridMultilevel"/>
    <w:lvl w:ilvl="0">
      <w:lvlJc w:val="left"/>
      <w:lvlText w:val="%1."/>
      <w:numFmt w:val="decimal"/>
      <w:start w:val="23"/>
    </w:lvl>
  </w:abstractNum>
  <w:abstractNum w:abstractNumId="17">
    <w:nsid w:val="436C6125"/>
    <w:multiLevelType w:val="hybridMultilevel"/>
    <w:lvl w:ilvl="0">
      <w:lvlJc w:val="left"/>
      <w:lvlText w:val="%1."/>
      <w:numFmt w:val="decimal"/>
      <w:start w:val="26"/>
    </w:lvl>
  </w:abstractNum>
  <w:abstractNum w:abstractNumId="18">
    <w:nsid w:val="628C895D"/>
    <w:multiLevelType w:val="hybridMultilevel"/>
    <w:lvl w:ilvl="0">
      <w:lvlJc w:val="left"/>
      <w:lvlText w:val="%1."/>
      <w:numFmt w:val="decimal"/>
      <w:start w:val="29"/>
    </w:lvl>
  </w:abstractNum>
  <w:abstractNum w:abstractNumId="19">
    <w:nsid w:val="333AB105"/>
    <w:multiLevelType w:val="hybridMultilevel"/>
    <w:lvl w:ilvl="0">
      <w:lvlJc w:val="left"/>
      <w:lvlText w:val="%1."/>
      <w:numFmt w:val="decimal"/>
      <w:start w:val="36"/>
    </w:lvl>
  </w:abstractNum>
  <w:abstractNum w:abstractNumId="20">
    <w:nsid w:val="721DA317"/>
    <w:multiLevelType w:val="hybridMultilevel"/>
    <w:lvl w:ilvl="0">
      <w:lvlJc w:val="left"/>
      <w:lvlText w:val="%1."/>
      <w:numFmt w:val="decimal"/>
      <w:start w:val="37"/>
    </w:lvl>
  </w:abstractNum>
  <w:abstractNum w:abstractNumId="21">
    <w:nsid w:val="2443A858"/>
    <w:multiLevelType w:val="hybridMultilevel"/>
    <w:lvl w:ilvl="0">
      <w:lvlJc w:val="left"/>
      <w:lvlText w:val="%1."/>
      <w:numFmt w:val="decimal"/>
      <w:start w:val="41"/>
    </w:lvl>
  </w:abstractNum>
  <w:abstractNum w:abstractNumId="22">
    <w:nsid w:val="2D1D5AE9"/>
    <w:multiLevelType w:val="hybridMultilevel"/>
    <w:lvl w:ilvl="0">
      <w:lvlJc w:val="left"/>
      <w:lvlText w:val="%1:"/>
      <w:numFmt w:val="lowerLetter"/>
      <w:start w:val="29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  <w:num w:numId="16">
    <w:abstractNumId w:val="15"/>
  </w:num>
  <w:num w:numId="17">
    <w:abstractNumId w:val="16"/>
  </w:num>
  <w:num w:numId="18">
    <w:abstractNumId w:val="17"/>
  </w:num>
  <w:num w:numId="19">
    <w:abstractNumId w:val="18"/>
  </w:num>
  <w:num w:numId="20">
    <w:abstractNumId w:val="19"/>
  </w:num>
  <w:num w:numId="21">
    <w:abstractNumId w:val="20"/>
  </w:num>
  <w:num w:numId="22">
    <w:abstractNumId w:val="21"/>
  </w:num>
  <w:num w:numId="23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2023-10-30T00:25:57Z</dcterms:created>
  <dcterms:modified xsi:type="dcterms:W3CDTF">2023-10-30T00:25:57Z</dcterms:modified>
</cp:coreProperties>
</file>