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Danny Leung</w:t>
            </w:r>
          </w:p>
        </w:tc>
      </w:tr>
      <w:tr>
        <w:trPr>
          <w:trHeight w:val="198"/>
        </w:trPr>
        <w:tc>
          <w:tcPr>
            <w:tcW w:w="4100" w:type="dxa"/>
            <w:vAlign w:val="bottom"/>
          </w:tcPr>
          <w:p>
            <w:pPr>
              <w:spacing w:after="0"/>
              <w:rPr>
                <w:sz w:val="17"/>
                <w:szCs w:val="17"/>
                <w:color w:val="auto"/>
              </w:rPr>
            </w:pPr>
          </w:p>
        </w:tc>
        <w:tc>
          <w:tcPr>
            <w:tcW w:w="3220" w:type="dxa"/>
            <w:vAlign w:val="bottom"/>
          </w:tcPr>
          <w:p>
            <w:pPr>
              <w:ind w:left="26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Danny Leung</w:t>
            </w:r>
          </w:p>
        </w:tc>
      </w:tr>
      <w:tr>
        <w:trPr>
          <w:trHeight w:val="216"/>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w:t>
            </w:r>
          </w:p>
        </w:tc>
      </w:tr>
      <w:tr>
        <w:trPr>
          <w:trHeight w:val="234"/>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168275</wp:posOffset>
            </wp:positionV>
            <wp:extent cx="3368675" cy="1054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867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MoneyHero Group Reports Unaudited First Quarter 2026 Results</w:t>
      </w:r>
    </w:p>
    <w:p>
      <w:pPr>
        <w:spacing w:after="0" w:line="219"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top-line growth with revenue increasing 15% year-over-year to US$16.5 million, driven by higher-margin Wealth and Insurance revenue which growing 31% year-over-year to account for over 28% of revenue compared with 25% in the prior year period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cost discipline delivering sustained operating efficiency, with combined technology costs, employee benefits expenses, and advertising and marketing expenses decreasing 13% year-over-year to US$8.5 million through ongoing technology stack simplification, AI-driven automation and streamlined headcount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9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progress toward sustainable profitability, with our net loss at US$(6.7) million, primarily driven by non-cash and currency adjustments, while our 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loss narrowed significantly by 68% year-over-year to US$(1.1) million</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HONG KONG and SINGAPORE, June 24, 2026 (GLOBE NEWSWIRE) -- MoneyHero Limited (Nasdaq: MNY) (“MoneyHero” or the “Company”), a leading tech- and AI-powered personal finance aggregation and comparison platform and a digital insurance brokerage provider in Greater Southeast Asia, today announced its financial results for the first quarter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Danny Leung, Interim Chief Executive Officer and Chief Financial Officer</w:t>
      </w:r>
      <w:r>
        <w:rPr>
          <w:rFonts w:ascii="Times New Roman" w:cs="Times New Roman" w:eastAsia="Times New Roman" w:hAnsi="Times New Roman"/>
          <w:sz w:val="18"/>
          <w:szCs w:val="18"/>
          <w:color w:val="auto"/>
        </w:rPr>
        <w:t>, stated:</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first-quarter performance reflects continued progress toward sustainable, profitable scaling. While we delivered encouraging revenue growth and improved operating efficiency during the quarter, we remain fully focused on executing against our broader full year 2026 objectives and navigating a dynamic operating environment. We delivered revenue of US$16.5 million, increasing a solid 15% year-over-year. More importantly, what stands out is the quality of that growth: our disciplined focus on optimizing unit economics has translated into meaningful operating efficiency gains and stronger monetization across our core markets and verticals.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Geographically, our performance was anchored by our two core markets, which together accounted for over 85% of revenue. Revenue in Hong Kong surged 33% year-over-year to US$8.5 million, further solidifying our market leadership, while revenue in Singapore delivered steady growth of 11% year-over-year to US$5.6 million. Taiwan and the Philippines, continue to recover as the structural leverage we are building there takes firmer hold. In Taiwan, we successfully optimized our localized product yields, driving enhanced conversion efficiencies across our core verticals, while in the Philippines, we prioritized core profitability by strategically reducing lower-margin volume. While these initiatives led to respective year- over-year revenue declines of 17% and 12% in the two markets, they reflect our deliberate prioritization of margin quality over volume, directly supporting improvements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9" w:lineRule="exact"/>
        <w:rPr>
          <w:sz w:val="20"/>
          <w:szCs w:val="20"/>
          <w:color w:val="auto"/>
        </w:rPr>
      </w:pPr>
    </w:p>
    <w:p>
      <w:pPr>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is a non-IFRS financial measure. See “Key Performance Metrics and Non-IFRS Financial Measures” section herein for an explanation and reconciliations of non-IFRS measures used throughout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Revenue mix optimization continued to accelerate our margin expansion trajectory. Combined revenue from our higher-margin Wealth and Insurance verticals grew 31% year-over-year to US$4.7 million, accounting for over 28% of revenue, compared with 25% in the prior year period. Our Wealth vertical was the highlight this quarter, with revenue expanding by 53% year-over-year to US$2.5 million. Insurance revenue grew 12% year-over-year to US$2.1 million. Our Personal Loans and Mortgages vertical also contributed, delivering 13% year-over-year revenue growth from US$2.5 million to US$2.8 million.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continued to make strong progress on our AI transformation initiative this quarter. We expanded AI capabilities across product development and engineering, and began extending AI adoption group-wide. AI has fundamentally changed how we design and build products. Our teams increasingly spend their time directing and refining what AI produces, rather than coding manually, and AI now drives the majority of what we build. This structural operational change underpins our ability to scale output while maintaining a lean technology and employee cost base — a key reason technology costs and employee benefit expenses continue to decline year-over-year. Building on the service-automation milestones we achieved in 2025, we are now extending AI adoption into core processes across the organization to identify further cost-saving and business synergies opportunities, break down silos, and drive cross-functional collaboration. This group-wide expansion is still in the early stages, and we will measure success by tangible operational and financial outcomes.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importantly, this AI transformation initiative continues to decouple revenue growth from cost base and drive efficiency. As we indicated last quarter, we have now begun leveraging AI to drive revenue growth. AI remains a core pillar of margin expansion and our path toward sustainable profitability.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Operationally, our efficiency gains are structural and enduring. Through disciplined scaling of our AI-integrated architecture, we have structurally optimized our cost base. Our combined technology costs, employee benefit expenses, and advertising and marketing expenses fell 13% year-over-year to US$8.5 million. Even with a more streamlined marketing framework, our approval rates expanded from 36% to 48%, and we still delivered year-over-year growth in total approved applications. Consequently, our Adjusted EBITDA loss narrowed sharply by 68% year-over-year to US$(1.1) million, setting a clear, near-term path toward sustainable Adjusted EBITDA profitability.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loss of US$(6.7) million for the quarter widened from US$(2.4) million in the prior year period due to macroeconomic and non-cash accounting factors — specifically a US$1.1 million non-cash change in the fair value of warrant liabilities and US$2.4 million in net unrealized foreign exchange losses from regional currency fluctuations against the US dollar. Excluding these items, our underlying operational performance, as reflected in our Adjusted EBITDA trajectory, remains robust.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ended the quarter with a healthy, debt-free balance sheet with US$28.0 million in cash and cash equivalents and US$32.8 million in net current assets as at March 31, 2026. This financial runway allows us to comfortably fund our organic growth roadmap—including the expansion of our TransUnion-backed Credit Hero Club in Hong Kong—while proactively evaluating business expansion opportunities. Looking ahead through the remainder of 2026, we remain confident in our long-term strategy and growth opportunities while continuing to focus on disciplined execution, talent retention, operational efficiency and the successful implementation of key strategic initiatives.”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US$16.5 million, a 15% year-over-year increase from US$14.3 million in the same period last year, with double-digit growth across all of our core verticals (Credit Cards, Personal Loans and Mortgages, Wealth and Insurance), driven by strong performance in our core markets: Hong Kong grew by 33% year-over-year to US$8.5 million and Singapore by 11% year-over-year to US$5.6 million, reflecting our deliberate focus on expanding product offerings and market share within our largest markets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Combined revenue from higher-margin Wealth and Insurance products increased 31% year-over-year to US$4.7 million, accounting for over 28% of revenue, compared with 25% in the same period last year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US$(6.7) million in the first quarter of 2026, compared to a net loss of US$(2.4) million in the prior year period. This was driven by macroeconomic and non-cash accounting factors, including a US$1.1 million change in the fair value of warrant liabilities and US$2.4 million in net unrealized foreign exchange losses resulting from regional currency depreciation against the US dollar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improved significantly by 68% year-over-year to US$(1.1) million in the first quarter of 2026, from US$(3.3) million in the same period last year, predominantly driven by revenue growth across our core verticals, and structural cost reductions across advertising and marketing expenses, employee benefit expenses and technology costs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costs, employee benefit expenses and advertising and marketing expenses combined decreased 13% year-over-year to US$8.5 million, down from US$9.8 million during the same period last year. This reduction was attributable to technology stack simplification, enhanced platform efficiency, streamlined headcount, and data-driven targeted marketing campaigns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Operational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Unique Users totaled 3.9 million for the three months ended March 31,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 Group Members grew by 24% year-over-year to 9.8 million as of March 31, 2026, creating a deep foundation of registered users to power personalized product matching and targeted financial recommendations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MoneyHero’s approval rate expanded significantly year-over-year from 36% to 48%, with 156,000 approved applications out of 329,000 applications. This improvement underscores optimized customer acquisition and a shift of applications and approved applications towards higher-conversion products, such as Insurance.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of financial / KPI performance</w:t>
            </w: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180" w:type="dxa"/>
            <w:vAlign w:val="bottom"/>
            <w:tcBorders>
              <w:top w:val="single" w:sz="8" w:color="auto"/>
            </w:tcBorders>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318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in thousands, unless otherwise noted)</w:t>
            </w:r>
          </w:p>
        </w:tc>
        <w:tc>
          <w:tcPr>
            <w:tcW w:w="16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4"/>
        </w:trPr>
        <w:tc>
          <w:tcPr>
            <w:tcW w:w="3180" w:type="dxa"/>
            <w:vAlign w:val="bottom"/>
            <w:tcBorders>
              <w:top w:val="single" w:sz="8" w:color="auto"/>
            </w:tcBorders>
          </w:tcPr>
          <w:p>
            <w:pPr>
              <w:spacing w:after="0"/>
              <w:rPr>
                <w:sz w:val="20"/>
                <w:szCs w:val="20"/>
                <w:color w:val="auto"/>
              </w:rPr>
            </w:pPr>
          </w:p>
        </w:tc>
        <w:tc>
          <w:tcPr>
            <w:tcW w:w="5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top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1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16,517</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14,314</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(1,064)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(3,309)</w:t>
            </w:r>
          </w:p>
        </w:tc>
      </w:tr>
      <w:tr>
        <w:trPr>
          <w:trHeight w:val="216"/>
        </w:trPr>
        <w:tc>
          <w:tcPr>
            <w:tcW w:w="318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Clicks (in thousands)</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1,394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w:t>
            </w:r>
          </w:p>
        </w:tc>
      </w:tr>
      <w:tr>
        <w:trPr>
          <w:trHeight w:val="257"/>
        </w:trPr>
        <w:tc>
          <w:tcPr>
            <w:tcW w:w="868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Applications (in thousands) </w:t>
            </w:r>
            <w:r>
              <w:rPr>
                <w:rFonts w:ascii="Times New Roman" w:cs="Times New Roman" w:eastAsia="Times New Roman" w:hAnsi="Times New Roman"/>
                <w:sz w:val="29"/>
                <w:szCs w:val="29"/>
                <w:color w:val="auto"/>
                <w:vertAlign w:val="superscript"/>
              </w:rPr>
              <w:t>2,3</w:t>
            </w:r>
          </w:p>
        </w:tc>
        <w:tc>
          <w:tcPr>
            <w:tcW w:w="1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329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r>
      <w:tr>
        <w:trPr>
          <w:trHeight w:val="39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Approved Applications (in thousands)</w:t>
            </w:r>
            <w:r>
              <w:rPr>
                <w:rFonts w:ascii="Times New Roman" w:cs="Times New Roman" w:eastAsia="Times New Roman" w:hAnsi="Times New Roman"/>
                <w:sz w:val="29"/>
                <w:szCs w:val="29"/>
                <w:color w:val="auto"/>
                <w:vertAlign w:val="superscript"/>
              </w:rPr>
              <w:t>2,3</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156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breakdown</w:t>
      </w:r>
    </w:p>
    <w:p>
      <w:pPr>
        <w:spacing w:after="0" w:line="23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sectPr>
          <w:pgSz w:w="11900" w:h="16838" w:orient="portrait"/>
          <w:cols w:equalWidth="0" w:num="1">
            <w:col w:w="11240"/>
          </w:cols>
          <w:pgMar w:left="320" w:top="891" w:right="3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 thousands, except for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7115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Geographical Market: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Taiwan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64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top w:val="single" w:sz="8" w:color="auto"/>
              <w:bottom w:val="single" w:sz="8" w:color="auto"/>
            </w:tcBorders>
          </w:tcPr>
          <w:p>
            <w:pPr>
              <w:spacing w:after="0"/>
              <w:rPr>
                <w:sz w:val="21"/>
                <w:szCs w:val="21"/>
                <w:color w:val="auto"/>
              </w:rPr>
            </w:pPr>
          </w:p>
        </w:tc>
      </w:tr>
      <w:tr>
        <w:trPr>
          <w:trHeight w:val="236"/>
        </w:trPr>
        <w:tc>
          <w:tcPr>
            <w:tcW w:w="1640" w:type="dxa"/>
            <w:vAlign w:val="bottom"/>
            <w:tcBorders>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US$</w:t>
            </w: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US$</w:t>
            </w: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(unaudited)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5"/>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8,478</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3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6,397</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5,642</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1,472</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16,517</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3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14,314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-770890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89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Source: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Online financial comparison platforms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14,970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r>
      <w:tr>
        <w:trPr>
          <w:trHeight w:val="237"/>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Creatory</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16,517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22"/>
                <w:szCs w:val="22"/>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Vertical:</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cards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Personal loans and mortgages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Wealth</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verticals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16,517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Due to the nature of our business, there is often a delay in receiving confirmation of the number of Applications and Approved Applications by our commercial partners. As a result, the disclosed figures may utilize estimations if data is unavailable.</w:t>
      </w:r>
    </w:p>
    <w:p>
      <w:pPr>
        <w:spacing w:after="0" w:line="2" w:lineRule="exact"/>
        <w:rPr>
          <w:sz w:val="20"/>
          <w:szCs w:val="20"/>
          <w:color w:val="auto"/>
        </w:rPr>
      </w:pPr>
    </w:p>
    <w:p>
      <w:pPr>
        <w:jc w:val="both"/>
        <w:ind w:left="340" w:hanging="332"/>
        <w:spacing w:after="0" w:line="204"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Historical MoneyHero Group Members, Applications and Approved Applications as of and for comparative periods prior to September 30, 2025, have been restated to be presented on a comparable basis to our current data governance practices. These revisions had no impact on our consolidated financial statements for any of the periods presented.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960" w:type="dxa"/>
            <w:vAlign w:val="bottom"/>
            <w:tcBorders>
              <w:top w:val="single" w:sz="8" w:color="auto"/>
            </w:tcBorders>
          </w:tcPr>
          <w:p>
            <w:pPr>
              <w:spacing w:after="0"/>
              <w:rPr>
                <w:sz w:val="24"/>
                <w:szCs w:val="24"/>
                <w:color w:val="auto"/>
              </w:rPr>
            </w:pPr>
          </w:p>
        </w:tc>
        <w:tc>
          <w:tcPr>
            <w:tcW w:w="4940" w:type="dxa"/>
            <w:vAlign w:val="bottom"/>
          </w:tcPr>
          <w:p>
            <w:pPr>
              <w:spacing w:after="0"/>
              <w:rPr>
                <w:sz w:val="24"/>
                <w:szCs w:val="24"/>
                <w:color w:val="auto"/>
              </w:rPr>
            </w:pPr>
          </w:p>
        </w:tc>
        <w:tc>
          <w:tcPr>
            <w:tcW w:w="330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Monthly Unique Users</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 millions, except for percentages)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5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c>
          <w:tcPr>
            <w:tcW w:w="5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7"/>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580" w:type="dxa"/>
            <w:vAlign w:val="bottom"/>
          </w:tcPr>
          <w:p>
            <w:pPr>
              <w:spacing w:after="0"/>
              <w:rPr>
                <w:sz w:val="20"/>
                <w:szCs w:val="20"/>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w w:val="88"/>
              </w:rPr>
              <w:t>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Traffic</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5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28.7%</w:t>
            </w:r>
          </w:p>
        </w:tc>
        <w:tc>
          <w:tcPr>
            <w:tcW w:w="5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9"/>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5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5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20"/>
              <w:spacing w:after="0" w:line="203" w:lineRule="exact"/>
              <w:rPr>
                <w:sz w:val="20"/>
                <w:szCs w:val="20"/>
                <w:color w:val="auto"/>
              </w:rPr>
            </w:pPr>
            <w:r>
              <w:rPr>
                <w:rFonts w:ascii="Times New Roman" w:cs="Times New Roman" w:eastAsia="Times New Roman" w:hAnsi="Times New Roman"/>
                <w:sz w:val="18"/>
                <w:szCs w:val="18"/>
                <w:b w:val="1"/>
                <w:bCs w:val="1"/>
                <w:color w:val="auto"/>
                <w:w w:val="88"/>
              </w:rPr>
              <w:t>17.5</w:t>
            </w: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MoneyHero Group Members</w:t>
            </w:r>
            <w:r>
              <w:rPr>
                <w:rFonts w:ascii="Times New Roman" w:cs="Times New Roman" w:eastAsia="Times New Roman" w:hAnsi="Times New Roman"/>
                <w:sz w:val="29"/>
                <w:szCs w:val="29"/>
                <w:color w:val="auto"/>
                <w:vertAlign w:val="superscript"/>
              </w:rPr>
              <w:t>4</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 millions, except for percentages)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00" w:type="dxa"/>
            <w:vAlign w:val="bottom"/>
            <w:gridSpan w:val="2"/>
            <w:vMerge w:val="continue"/>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15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70.2%</w:t>
            </w:r>
          </w:p>
        </w:tc>
        <w:tc>
          <w:tcPr>
            <w:tcW w:w="580" w:type="dxa"/>
            <w:vAlign w:val="bottom"/>
          </w:tcPr>
          <w:p>
            <w:pPr>
              <w:spacing w:after="0"/>
              <w:rPr>
                <w:sz w:val="20"/>
                <w:szCs w:val="20"/>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w w:val="88"/>
              </w:rPr>
              <w:t>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10"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Historical MoneyHero Group Members, Applications and Approved Applications as of and for comparative periods prior to September 30, 2025, have been restated to be presented on a comparable basis to our current data governance practices. These revisions had no impact on our consolidated financial statements for any of the periods presented.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and webcast on Wednesday, June 24, 2026, at 8:00 a.m. Eastern Time / 8:00 p.m. Hong Kong/Singapore Time to discuss the Company’s financial results. The MoneyHero Limited (NASDAQ: MNY) Q1 2026 Earnings call can be accessed by registering 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https://edge.media-server.com/mmc/p/b7wwzyug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https://register-conf.media-server.com/register/BIc910046ad194431c9631e21c0745482f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MoneyHero Limited (NASDAQ: MNY) is a leading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retains an equity stake in preference shares in Malaysian fintech company, Jirnexu Pte. Ltd., parent company of Jirnexu Sdn. Bhd., the operator of RinggitPlus, Malaysia’s largest operating B2C platform. MoneyHero had over 270 commercial partner relationships as at March 31, 2026, and had approximately 3.9 million Monthly Unique Users across its platform for the three months ended March 31, 2026.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Non-IFRS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“Monthly Unique User” means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 This metric provides investors with insight into our market penetration and the breadth of our audience. Management uses this data to refine our content and product discovery tools, with the goal of increasing user loyalty and driving higher conversion rates from unique visitors into active product applicants.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 Traffic is a key indicator for investors of the overall engagement volume and frequency of use of our platforms. Management utilizes this metric to analyze the efficiency of our acquisition funnel and to optimize our marketing spend toward high-ROI organic and paid channels that deliver users with the highest intent to transact.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“MoneyHero Group Members” means (i) users who have login IDs with us in Singapore, Hong Kong and Taiwan, (ii) users who subscribe to our email distributions in Singapore, Hong Kong, Taiwan and the Philippines, and (iii) users who are registered in our rewards database in Singapore and Hong Kong. Any duplications across the three sources above are deduplicated. This metric is useful to investors as it identifies our core base of registered users who have established a direct relationship with our platforms. Management uses this data to evaluate the scale of our market reach and to improve our AI-driven personalization. By understanding member behavior, we can provide more accurate financial recommendations, which encourages repeat use of our services and increases the long-term value of each user relationship.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“Clicks” means the sum of unique clicks by product item on a tagged “Apply Now”, “Express Buy”, “Buy” or similar button on our website, including product result pages and blogs. We track Clicks to understand how our users engage with our platforms prior to application submission or purchase, which enables us to further optimize conversion rates.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“Applications” means the total number of product applications submitted by users and confirmed by our commercial partners. Management uses this metric to assess the conversion efficiency of our platforms and the effectiveness of our marketing strategies in driving users toward the final stages of the transaction funnel.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“Approved Applications” means the number of applications that have been approved and confirmed by our commercial partners. Management utilizes this data to evaluate the quality and success rate of applications facilitated through our platforms, which is critical to our success-based fee model and our ability to align user demand with our commercial partners’ underwriting standards.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“Approval Rates” means the total number of Approved Applications divided by the total number of Applications during the respective periods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uses this metric to track our overall conversion success ratio.</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MoneyHero Group’s results determined in accordance with IFRS, MoneyHero Group believes that the key performance metrics above and the non-IFRS measures below are useful in evaluating its operating performance. MoneyHero Group uses these measures to evaluate ongoing operations and for internal planning and forecasting purposes. MoneyHero Group believes that non-IFRS information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profit/(loss) for the period and profit/(loss) before income tax.</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non-IFRS financial measure defined as loss for the period plus income tax expense, depreciation and amortization, interest income, finance costs, changes in fair value of financial instruments, impairment of other assets, equity-settled share-based payment expenses, unrealized foreign exchange loss/(gain) and non-recurring legal and professional fees and other expenses. For further details on the components of these adjustments and why management believes this non-IFRS measure provides useful supplemental information to investors, please see our Annual Report on Form 20-F for the year ended December 31,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is a non-IFRS financial measure defined as loss for the period plus income tax expense, depreciation and amortization, interest income and finance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4"/>
        </w:trPr>
        <w:tc>
          <w:tcPr>
            <w:tcW w:w="8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top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(6,744)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EBITDA</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(6,491)</w:t>
            </w: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(2,265)</w:t>
            </w:r>
          </w:p>
        </w:tc>
        <w:tc>
          <w:tcPr>
            <w:tcW w:w="100" w:type="dxa"/>
            <w:vAlign w:val="bottom"/>
            <w:tcBorders>
              <w:top w:val="single" w:sz="8" w:color="CCEEFF"/>
            </w:tcBorders>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other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arising from employee share incentive scheme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foreign exchange loss/(gain),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2,396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non-recurring items: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legal and professional fees and other expenses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1,596</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(3,309</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82"/>
        </w:trPr>
        <w:tc>
          <w:tcPr>
            <w:tcW w:w="85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pandemics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2025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IR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IR@MoneyHeroGroup.com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PR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Press@MoneyHeroGroup.com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Other Comprehensive Loss or Income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in thousands, except for loss per share)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4"/>
        </w:trPr>
        <w:tc>
          <w:tcPr>
            <w:tcW w:w="8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top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16,517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14,314</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(7,866)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(3,920)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costs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(539)</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(3,998)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administrative and other operating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(3,512)</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3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(2,404)</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(5,722)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(3,040)</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(1,104)</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(6,737)</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(2,449)</w:t>
            </w: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for the period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(6,744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(2,449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 that may be classified to profit or loss in subsequent periods (net of tax):</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1,864</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that will not be reclassified to profit or loss in subsequent periods (net of tax):</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Remeasurement loss on defined benefit plan</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loss on non-current financial asset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20"/>
                <w:szCs w:val="20"/>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 for the period, net of tax</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net of tax</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(4,952)</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attributable to ordinary equity holders of the parent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655"/>
        </w:trPr>
        <w:tc>
          <w:tcPr>
            <w:tcW w:w="85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in thousands)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2,329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2,334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recoverable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bank deposits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31,185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and other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32,837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37,497</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LESS CURRENT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35,166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39,831</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benefit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34,787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39,411</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39,406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34,787</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39,411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85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2026-06-24T05:34:44Z</dcterms:created>
  <dcterms:modified xsi:type="dcterms:W3CDTF">2026-06-24T05:34:44Z</dcterms:modified>
</cp:coreProperties>
</file>