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06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2024</w:t>
            </w: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Rohith Murthy</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Rohith Murthy</w:t>
            </w:r>
          </w:p>
        </w:tc>
      </w:tr>
      <w:tr>
        <w:trPr>
          <w:trHeight w:val="234"/>
        </w:trPr>
        <w:tc>
          <w:tcPr>
            <w:tcW w:w="4100" w:type="dxa"/>
            <w:vAlign w:val="bottom"/>
          </w:tcPr>
          <w:p>
            <w:pPr>
              <w:spacing w:after="0"/>
              <w:rPr>
                <w:sz w:val="20"/>
                <w:szCs w:val="20"/>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151130</wp:posOffset>
            </wp:positionV>
            <wp:extent cx="3343275" cy="969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MoneyHero Group Reports First Quarter 2024 Results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quarter revenue of US$22.2 million, up 24% Year-Over-Year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SINGAPORE – June 24, 2024 -- </w:t>
      </w:r>
      <w:r>
        <w:rPr>
          <w:rFonts w:ascii="Times New Roman" w:cs="Times New Roman" w:eastAsia="Times New Roman" w:hAnsi="Times New Roman"/>
          <w:sz w:val="18"/>
          <w:szCs w:val="18"/>
          <w:u w:val="single" w:color="auto"/>
          <w:color w:val="auto"/>
        </w:rPr>
        <w:t>MoneyHero Limited</w:t>
      </w:r>
      <w:r>
        <w:rPr>
          <w:rFonts w:ascii="Times New Roman" w:cs="Times New Roman" w:eastAsia="Times New Roman" w:hAnsi="Times New Roman"/>
          <w:sz w:val="18"/>
          <w:szCs w:val="18"/>
          <w:color w:val="auto"/>
        </w:rPr>
        <w:t xml:space="preserve"> (Nasdaq: </w:t>
      </w:r>
      <w:r>
        <w:rPr>
          <w:rFonts w:ascii="Times New Roman" w:cs="Times New Roman" w:eastAsia="Times New Roman" w:hAnsi="Times New Roman"/>
          <w:sz w:val="18"/>
          <w:szCs w:val="18"/>
          <w:u w:val="single" w:color="auto"/>
          <w:color w:val="auto"/>
        </w:rPr>
        <w:t>MNY</w:t>
      </w:r>
      <w:r>
        <w:rPr>
          <w:rFonts w:ascii="Times New Roman" w:cs="Times New Roman" w:eastAsia="Times New Roman" w:hAnsi="Times New Roman"/>
          <w:sz w:val="18"/>
          <w:szCs w:val="18"/>
          <w:color w:val="auto"/>
        </w:rPr>
        <w:t>) (“MoneyHero” or the “Company”), a market leading personal finance and digital insurance aggregation and comparison platform in Greater Southeast Asia, today announced financial results for the quarter ended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Rohith Murthy, Chief Executive Officer</w:t>
      </w:r>
      <w:r>
        <w:rPr>
          <w:rFonts w:ascii="Times New Roman" w:cs="Times New Roman" w:eastAsia="Times New Roman" w:hAnsi="Times New Roman"/>
          <w:sz w:val="18"/>
          <w:szCs w:val="18"/>
          <w:color w:val="auto"/>
        </w:rPr>
        <w:t>, stated, “I am pleased to report another strong quarter, with revenue increasing by 24% year-over-year to $22.2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This significant growth underscores the effectiveness of our strategic initiatives and the robust performance across our core markets. Despite Q1 historically being a lower quarter due to the Chinese New Year holidays and the shorter month of February, which typically results in a drop from Q4 to Q1, we have achieved substantial year-over-year growth. This demonstrates the resilience and strength of our business model in overcoming seasonal challenges.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Reflecting on the five key pillars from our Q4 2023 earnings call—Consumer Pull, Conversion Expertise, Insurance Brokerage, Strong Partner Relationships, and Operating Leverage—we see their clear impact in our Q1 results. Our enhanced user experience and high-quality content continue to attract and retain consumers, driving significant inbound traffic.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conversion expertise is evidenced by a 72% increase in approved applications, thanks to our superior UX/UI. The insurance brokerage segment, a major growth driver, saw revenue increase by 44% year-over-year, contributing 8.2% to our Group revenue as we simplify and enhance the insurance purchasing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Strong partner relationships have enabled us to be the largest digital acquisition channel for many financial partners. This quarter, we ramped up marketing campaigns and market share strategies, particularly in Singapore and Hong Kong, which saw revenue growth of 61% and 37%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aggressive growth strategy around credit cards serves multiple strategic purposes: acquiring new users, becoming the preferred acquisition channel for many partners, and leveraging credit card acquisition as an incubator for cross-selling other products, especially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Our Creatory platform continues to thrive, contributing 19% to Group revenue in Q1, up from 17% last year. We are investing in Creatory by adding new creators and expanding through marketing campaigns, tapping into new audience segments.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increased EBITDA loss reflects deliberate investments in growth and market share expansion. These investments are not just about immediate revenue but building a sustainable business model. By expanding our user base and market presence, we are laying the foundation for future profitability. As time progresses, the brand and marketing investments we’ve made will improve brand trust and conversion rates, further increasing our efficiency.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further enhance our financial performance, we are also optimizing operational efficiencies and expanding into higher margin products such as personal loans, insurance, and advertising revenues. We anticipate these initiatives will reduce our operating burn starting the second half of this year. Additionally, leveraging AI and automation, and centralizing data on a robust platform will enhance marketing efficiencies through better insights and CRM strategies.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Lastly, our commitment to operational leverage remains unwavering. Despite increased operating costs to support our growth strategy, our disciplined approach to scaling and efficiency will drive long-term value. With a debt-free balance sheet and strong cash position, we are well-positioned to execute our strategic initiatives and achieve our ambitious $100 million revenue target for 2024. These solid Q1 results demonstrate that we are on track to meet our annual guidance.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conclusion, while profitability may be delayed due to accelerated user growth and market share expansion, our focus on long-term strategic investments and operational efficiencies will ensure sustainable profitability. I am confident about the long-term profitability in our business as we continue to scale and leverage our strengths.”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Hao Qian, Chief Financial Officer</w:t>
      </w:r>
      <w:r>
        <w:rPr>
          <w:rFonts w:ascii="Times New Roman" w:cs="Times New Roman" w:eastAsia="Times New Roman" w:hAnsi="Times New Roman"/>
          <w:sz w:val="18"/>
          <w:szCs w:val="18"/>
          <w:color w:val="auto"/>
        </w:rPr>
        <w:t>, added: “I am thrilled to join MoneyHero Group as its new CFO. In Q1 2024, MoneyHero’s aggressive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resulted in a dramatic 72% growth in approved applications with Adjusted EBITDA loss increasing to US$(6.4) million. This growth helped drive strong market share gains in Greater Southeast Asia and revenue growth to over US$22 million. We remain focused on expanding our market share dominance through both organic and M&amp;A to further consolidate the industry and realize efficiency gains throughout Greater Southeast Asia. I look forward to contributing to MoneyHero’s continued success and working with the talented team to drive further growth and long-term shareholder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MoneyHero delivered 24% year-over-year revenue growth in the first quarter of 2024. In the first quarter, we continued to implement a strong growth strategy to grow our user base and further extend our market share lead. For the first quarter 2024, our year-over-year adjusted EBITDA loss increased to US$(6.4) million. The primary drivers for the increased loss include:</w:t>
      </w:r>
    </w:p>
    <w:p>
      <w:pPr>
        <w:spacing w:after="0" w:line="17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 share capture strategy versus competitors by increasing brand and direct marketing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constraints due to Citi exiting two critical markets - Taiwan and Philippines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increased YoY primarily due to additional costs associated with being a public company (audit fees, D&amp;O insurance, IR/PR related fees, etc.)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strategic initiatives, we expect adjusted EBITDA loss to remain elevated for the first half of 2024, but we expect margins to recover in the second half of 2024 and continue to expand for the rest of the year. We anticipate operating at adjusted EBITDA profitability on a monthly basis in the late part of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24% year-over-year to US$22.2 million in the first quarter of 2024</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financial comparison platforms revenue increased by 22% year-over-year to US$18.1 million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Creatory, MoneyHero’s B2B business, revenue increased by 34% year-over-year and contributed to 19% of Group revenue in the first quarter of 2024, as compared to 17% in the prior year period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markets:</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revenue increased by 61% year-over-year to US$8.9 million in the first quarter, with the strongest growth coming from the credit card and insurance verticals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revenue increased by 37% year-over-year to US$7.7 million in the first quarter, with the strongest growth coming from the personal loan vertical</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Philippines revenue decreased by 4% year-over-year to US$4.0 million in the first quarter, largely due to revised pricing terms for a key client upon the completion of its services migration post-acquisition</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Taiwan revenue decreased by 40% year-over-year to US$1.4 million in the first quarter due to paused product offerings for certain key clients, but secured deals with new and returning clients in the first quarter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insurance products increased by 44% year-over-year to US$1.8 million in the first quarter of 2024, contributing 8% of Group revenue, as compared to 7% in the prior year period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increased to US$34.5 million in the first quarter of 2024 from US$18.8 million in the prior year period, driven primarily by increased investment in marketing and customer acquisition as part of the Company’s strategy to expand market share and increase brand awareness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increased to US$(6.4) million in the first quarter of 2024 from US$(0.3) million in the prior year period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the Company had a debt-free balance sheet with US$60.0 million in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Operational Highlights</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Users decreased by 3% year-over-year to 8.5 million in the first quarter of 2024, but Total Traffic increased by 4% year-over-year to 32.7 million on the back of strong traffic growth in the Philippines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to whom we can provide more tailored product information and recommendations, grew by 59% year-over-year to 5.9 million as of March 31, 2024 due to membership growth across all markets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Application volumes increased by 72% year-over-year in the first quarter to 206,000, driven by strong growth in the Company’s credit card and insurance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Structure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the capital structure of the Company as of March 31, 2024: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 and</w:t>
            </w:r>
          </w:p>
        </w:tc>
      </w:tr>
      <w:tr>
        <w:trPr>
          <w:trHeight w:val="241"/>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26,170,099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13,254,838</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Preference Shares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3,466,820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Issued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42,891,757</w:t>
            </w:r>
          </w:p>
        </w:tc>
      </w:tr>
      <w:tr>
        <w:trPr>
          <w:trHeight w:val="257"/>
        </w:trPr>
        <w:tc>
          <w:tcPr>
            <w:tcW w:w="10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Employee Equity Options</w:t>
            </w:r>
            <w:r>
              <w:rPr>
                <w:rFonts w:ascii="Times New Roman" w:cs="Times New Roman" w:eastAsia="Times New Roman" w:hAnsi="Times New Roman"/>
                <w:sz w:val="29"/>
                <w:szCs w:val="29"/>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1,557,626</w:t>
            </w:r>
          </w:p>
        </w:tc>
      </w:tr>
      <w:tr>
        <w:trPr>
          <w:trHeight w:val="39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Issued and Issuable Shares</w:t>
            </w:r>
            <w:r>
              <w:rPr>
                <w:rFonts w:ascii="Times New Roman" w:cs="Times New Roman" w:eastAsia="Times New Roman" w:hAnsi="Times New Roman"/>
                <w:sz w:val="29"/>
                <w:szCs w:val="29"/>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44,449,383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233"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unexercised and exercised options, but not yet issued as of March 31, 2024.</w:t>
      </w:r>
    </w:p>
    <w:p>
      <w:pPr>
        <w:ind w:left="340" w:hanging="332"/>
        <w:spacing w:after="0" w:line="180"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Public Warrants, Sponsor Warrants, Class A-1 Warrants, Class A-2 Warrants and Class A-3 Warrants are excluded since they are out of money.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of financial / KPI performance</w:t>
            </w: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0" w:type="dxa"/>
            <w:vAlign w:val="bottom"/>
          </w:tcPr>
          <w:p>
            <w:pPr>
              <w:spacing w:after="0"/>
              <w:rPr>
                <w:sz w:val="1"/>
                <w:szCs w:val="1"/>
                <w:color w:val="auto"/>
              </w:rPr>
            </w:pPr>
          </w:p>
        </w:tc>
      </w:tr>
      <w:tr>
        <w:trPr>
          <w:trHeight w:val="243"/>
        </w:trPr>
        <w:tc>
          <w:tcPr>
            <w:tcW w:w="158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(US$ in thousands, unless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otherwise noted)</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22,175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17,902</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(6,440)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Clicks (in thousands)</w:t>
            </w: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2,294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Applications (in thousands)</w:t>
            </w:r>
          </w:p>
        </w:tc>
        <w:tc>
          <w:tcPr>
            <w:tcW w:w="16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495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Approved Applications (in thousands)</w:t>
            </w:r>
          </w:p>
        </w:tc>
        <w:tc>
          <w:tcPr>
            <w:tcW w:w="1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373"/>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breakdown</w:t>
            </w: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80" w:type="dxa"/>
            <w:vAlign w:val="bottom"/>
            <w:gridSpan w:val="4"/>
          </w:tcPr>
          <w:p>
            <w:pPr>
              <w:jc w:val="center"/>
              <w:ind w:right="63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80" w:type="dxa"/>
            <w:vAlign w:val="bottom"/>
            <w:tcBorders>
              <w:top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center"/>
              <w:ind w:right="61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tc>
        <w:tc>
          <w:tcPr>
            <w:tcW w:w="1600" w:type="dxa"/>
            <w:vAlign w:val="bottom"/>
          </w:tcPr>
          <w:p>
            <w:pPr>
              <w:spacing w:after="0"/>
              <w:rPr>
                <w:sz w:val="20"/>
                <w:szCs w:val="20"/>
                <w:color w:val="auto"/>
              </w:rPr>
            </w:pPr>
          </w:p>
        </w:tc>
        <w:tc>
          <w:tcPr>
            <w:tcW w:w="436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rPr>
              <w:t>(US$ in thousands, except for percentages)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80" w:type="dxa"/>
            <w:vAlign w:val="bottom"/>
            <w:gridSpan w:val="3"/>
            <w:vMerge w:val="continue"/>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8,944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5,559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30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7,716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5,641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1,402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2,324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30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3,979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16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4,131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133</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247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22,175</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17,902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16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Online financial comparison platforms</w:t>
            </w:r>
          </w:p>
        </w:tc>
        <w:tc>
          <w:tcPr>
            <w:tcW w:w="30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18,058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81.4</w:t>
            </w:r>
          </w:p>
        </w:tc>
        <w:tc>
          <w:tcPr>
            <w:tcW w:w="16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14,834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Creatory</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4,117</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3,068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22,175</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17,902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16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30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15,426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69.6</w:t>
            </w:r>
          </w:p>
        </w:tc>
        <w:tc>
          <w:tcPr>
            <w:tcW w:w="16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13,077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3,297</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2,337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30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1,827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16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1,267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1,625</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1,221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22,175</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17,902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655"/>
        </w:trPr>
        <w:tc>
          <w:tcPr>
            <w:tcW w:w="1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ind w:left="564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00" w:type="dxa"/>
            <w:vAlign w:val="bottom"/>
          </w:tcPr>
          <w:p>
            <w:pPr>
              <w:spacing w:after="0"/>
              <w:rPr>
                <w:sz w:val="21"/>
                <w:szCs w:val="21"/>
                <w:color w:val="auto"/>
              </w:rPr>
            </w:pPr>
          </w:p>
        </w:tc>
        <w:tc>
          <w:tcPr>
            <w:tcW w:w="3060" w:type="dxa"/>
            <w:vAlign w:val="bottom"/>
            <w:tcBorders>
              <w:top w:val="single" w:sz="8" w:color="auto"/>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top w:val="single" w:sz="8" w:color="auto"/>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p>
        </w:tc>
        <w:tc>
          <w:tcPr>
            <w:tcW w:w="1180" w:type="dxa"/>
            <w:vAlign w:val="bottom"/>
          </w:tcPr>
          <w:p>
            <w:pPr>
              <w:spacing w:after="0"/>
              <w:rPr>
                <w:sz w:val="20"/>
                <w:szCs w:val="20"/>
                <w:color w:val="auto"/>
              </w:rPr>
            </w:pPr>
          </w:p>
        </w:tc>
        <w:tc>
          <w:tcPr>
            <w:tcW w:w="32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(in millions, except for percentages)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17.3%</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13.5%</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24.1%</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42.8%</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Traffic</w:t>
            </w:r>
          </w:p>
        </w:tc>
        <w:tc>
          <w:tcPr>
            <w:tcW w:w="1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12.3%</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15.3%</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24.8%</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45.2%</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MoneyHero Group Members</w:t>
            </w:r>
          </w:p>
        </w:tc>
        <w:tc>
          <w:tcPr>
            <w:tcW w:w="1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12.6%</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57.2%</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8"/>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and webcast on Monday, June 24, 2024, at 8:00 a.m. Eastern Standard Time / 8:00 p.m. Singapore Standard Time to discuss the Company’s financial results. The MoneyHero Limited (NASDAQ: MNpY) Q1 2024 Earnings call can be accessed by registering 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https://edge.media-server.com/mmc/p/zi3tnfu6/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https://register.vevent.com/register/BI3c7e08b0e5fc45c18338b9e37908a351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MoneyHero Limited</w:t>
      </w:r>
      <w:r>
        <w:rPr>
          <w:rFonts w:ascii="Times New Roman" w:cs="Times New Roman" w:eastAsia="Times New Roman" w:hAnsi="Times New Roman"/>
          <w:sz w:val="18"/>
          <w:szCs w:val="18"/>
          <w:color w:val="auto"/>
        </w:rPr>
        <w:t xml:space="preserve"> (NASDAQ: </w:t>
      </w:r>
      <w:r>
        <w:rPr>
          <w:rFonts w:ascii="Times New Roman" w:cs="Times New Roman" w:eastAsia="Times New Roman" w:hAnsi="Times New Roman"/>
          <w:sz w:val="18"/>
          <w:szCs w:val="18"/>
          <w:u w:val="single" w:color="auto"/>
          <w:color w:val="auto"/>
        </w:rPr>
        <w:t>MNY</w:t>
      </w:r>
      <w:r>
        <w:rPr>
          <w:rFonts w:ascii="Times New Roman" w:cs="Times New Roman" w:eastAsia="Times New Roman" w:hAnsi="Times New Roman"/>
          <w:sz w:val="18"/>
          <w:szCs w:val="18"/>
          <w:color w:val="auto"/>
        </w:rPr>
        <w:t>), formerly known as Hyphen Group or CompareAsia Group, is a market leader in the online personal finance and digital insurance aggregation and comparison sector in Greater Southeast Asia. The Company operates in Singapore, Hong Kong, Taiwan, the Philippines, and Malaysia with respective brands for each local market. MoneyHero currently managed 262 commercial partner relationships and services 8.5 million Monthly Unique Users across its platform for the three months ended March 31, 2024.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Google Analytics. A session initiates when a user either opens an app in the foreground or views a page or screen and no session is currently active (e.g., the user’s previous session has ended). A session ends after 30 minutes of user inactivity. We measure Monthly Unique Users during a time period longer than one month by averaging the Monthly Unique Users of each month within that period.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“Traffic” means the total number of unique sessions in Google Analytics. A unique session is a group of user interactions recorded when a user visits the website or app within a 30-minute window. The current session ends when there is 30 minutes of inactivity or users have a change in traffic source.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 (ii) users who subscribe to our email distributions in Singapore, Hong Kong, Taiwan, the Philippines and Malaysia, and (iii) users who are registered in our rewards database in Singapore and Hong Kong. Any duplications across the three sources above are deduplicated.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vertical on a tagged “Apply Now” button on our website, including product result pages and blogs. We track Clicks to understand how our users engage with our platforms prior to application submission or purchase, which enables us to further optimize conversion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loss for the year/period and loss before income tax.</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a non-IFRS financial measure defined as loss for the year/period plus depreciation and amortization, interest income, finance costs, income tax expenses/(credit), equity-settled share option expense, employee severance expenses, transaction expenses, changes in fair value of financial instruments, non-recurring legal fees, and unrealized foreign exchange differences. Adjusted EBITDA Margin is defined as Adjusted EBITDA as a percentage of revenue.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 from U.S. GAAP.</w:t>
      </w:r>
    </w:p>
    <w:p>
      <w:pPr>
        <w:spacing w:after="0" w:line="180"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4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r>
      <w:tr>
        <w:trPr>
          <w:trHeight w:val="216"/>
        </w:trPr>
        <w:tc>
          <w:tcPr>
            <w:tcW w:w="8440" w:type="dxa"/>
            <w:vAlign w:val="bottom"/>
          </w:tcPr>
          <w:p>
            <w:pPr>
              <w:spacing w:after="0"/>
              <w:rPr>
                <w:sz w:val="18"/>
                <w:szCs w:val="18"/>
                <w:color w:val="auto"/>
              </w:rPr>
            </w:pPr>
          </w:p>
        </w:tc>
        <w:tc>
          <w:tcPr>
            <w:tcW w:w="2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(US$ in thousands)</w:t>
            </w: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(13,100)</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(2,530)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981</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1,144</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(595)</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1,766</w:t>
            </w:r>
          </w:p>
        </w:tc>
      </w:tr>
      <w:tr>
        <w:trPr>
          <w:trHeight w:val="216"/>
        </w:trPr>
        <w:tc>
          <w:tcPr>
            <w:tcW w:w="8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(12,654)</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16"/>
        </w:trPr>
        <w:tc>
          <w:tcPr>
            <w:tcW w:w="8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1,346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settled share-based payment arising from employee share option scheme</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623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4,036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8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Listing and other non-recurring strategic exercises related items:</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non-recurring items:</w:t>
            </w: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legal fees</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expenses</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(6,440)</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16"/>
        </w:trPr>
        <w:tc>
          <w:tcPr>
            <w:tcW w:w="8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22,175</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17,902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(6,440)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655"/>
        </w:trPr>
        <w:tc>
          <w:tcPr>
            <w:tcW w:w="8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ir@moneyherogroup.com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w:t>
      </w:r>
      <w:r>
        <w:rPr>
          <w:rFonts w:ascii="Times New Roman" w:cs="Times New Roman" w:eastAsia="Times New Roman" w:hAnsi="Times New Roman"/>
          <w:sz w:val="18"/>
          <w:szCs w:val="18"/>
          <w:u w:val="single" w:color="auto"/>
          <w:color w:val="auto"/>
        </w:rPr>
        <w:t>MoneyHero@gbpr.com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(Loss)/Income</w:t>
            </w:r>
          </w:p>
        </w:tc>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241"/>
        </w:trPr>
        <w:tc>
          <w:tcPr>
            <w:tcW w:w="8680" w:type="dxa"/>
            <w:vAlign w:val="bottom"/>
          </w:tcPr>
          <w:p>
            <w:pPr>
              <w:spacing w:after="0"/>
              <w:rPr>
                <w:sz w:val="20"/>
                <w:szCs w:val="20"/>
                <w:color w:val="auto"/>
              </w:rPr>
            </w:pPr>
          </w:p>
        </w:tc>
        <w:tc>
          <w:tcPr>
            <w:tcW w:w="166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6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246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 in thousands except for loss</w:t>
            </w: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p>
        </w:tc>
        <w:tc>
          <w:tcPr>
            <w:tcW w:w="16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per share)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22,175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17,902</w:t>
            </w:r>
          </w:p>
        </w:tc>
      </w:tr>
      <w:tr>
        <w:trPr>
          <w:trHeight w:val="216"/>
        </w:trPr>
        <w:tc>
          <w:tcPr>
            <w:tcW w:w="8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(14,106)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(6,132)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(1,851)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(5,878)</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(2,387)</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(4,112)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8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(12,291)</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8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597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(1,346)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(13,048)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(13,100)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(2,530)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 that may be classified to profit or loss in subsequent periods (net of tax):</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3,713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 that will not be reclassified to profit or loss in subsequent periods (net of tax):</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gains on defined benefit plan</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3,714</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8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(9,386)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(3,534)</w:t>
            </w:r>
          </w:p>
        </w:tc>
      </w:tr>
      <w:tr>
        <w:trPr>
          <w:trHeight w:val="216"/>
        </w:trPr>
        <w:tc>
          <w:tcPr>
            <w:tcW w:w="8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attributable to ordinary equity holders of the parent</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655"/>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9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As of</w:t>
            </w:r>
          </w:p>
        </w:tc>
      </w:tr>
      <w:tr>
        <w:trPr>
          <w:trHeight w:val="230"/>
        </w:trPr>
        <w:tc>
          <w:tcPr>
            <w:tcW w:w="49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w:t>
            </w:r>
          </w:p>
        </w:tc>
        <w:tc>
          <w:tcPr>
            <w:tcW w:w="4840" w:type="dxa"/>
            <w:vAlign w:val="bottom"/>
            <w:gridSpan w:val="3"/>
          </w:tcPr>
          <w:p>
            <w:pPr>
              <w:jc w:val="center"/>
              <w:ind w:left="363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r>
      <w:tr>
        <w:trPr>
          <w:trHeight w:val="432"/>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7,294</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9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7,450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8,100</w:t>
            </w:r>
          </w:p>
        </w:tc>
      </w:tr>
      <w:tr>
        <w:trPr>
          <w:trHeight w:val="216"/>
        </w:trPr>
        <w:tc>
          <w:tcPr>
            <w:tcW w:w="49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17,236</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16,412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4,855</w:t>
            </w: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60,040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68,641</w:t>
            </w:r>
          </w:p>
        </w:tc>
      </w:tr>
      <w:tr>
        <w:trPr>
          <w:trHeight w:val="216"/>
        </w:trPr>
        <w:tc>
          <w:tcPr>
            <w:tcW w:w="49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102,059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106,947</w:t>
            </w:r>
          </w:p>
        </w:tc>
      </w:tr>
      <w:tr>
        <w:trPr>
          <w:trHeight w:val="216"/>
        </w:trPr>
        <w:tc>
          <w:tcPr>
            <w:tcW w:w="49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9,909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9,382</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35,708</w:t>
            </w: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ASSETS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71,239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LESS CURRENT LIABILITIES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70,542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79,339</w:t>
            </w:r>
          </w:p>
        </w:tc>
      </w:tr>
      <w:tr>
        <w:trPr>
          <w:trHeight w:val="216"/>
        </w:trPr>
        <w:tc>
          <w:tcPr>
            <w:tcW w:w="49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79,084</w:t>
            </w: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79,080</w:t>
            </w: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79,084</w:t>
            </w:r>
          </w:p>
        </w:tc>
      </w:tr>
      <w:tr>
        <w:trPr>
          <w:trHeight w:val="655"/>
        </w:trPr>
        <w:tc>
          <w:tcPr>
            <w:tcW w:w="49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2024-06-24T15:17:52Z</dcterms:created>
  <dcterms:modified xsi:type="dcterms:W3CDTF">2024-06-24T15:17:52Z</dcterms:modified>
</cp:coreProperties>
</file>