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43"/>
          <w:szCs w:val="43"/>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267335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03"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(Earnings Release).</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2023</w:t>
            </w: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Shaun Kraft</w:t>
            </w:r>
          </w:p>
        </w:tc>
      </w:tr>
      <w:tr>
        <w:trPr>
          <w:trHeight w:val="191"/>
        </w:trPr>
        <w:tc>
          <w:tcPr>
            <w:tcW w:w="3640" w:type="dxa"/>
            <w:vAlign w:val="bottom"/>
          </w:tcPr>
          <w:p>
            <w:pPr>
              <w:spacing w:after="0"/>
              <w:rPr>
                <w:sz w:val="16"/>
                <w:szCs w:val="16"/>
                <w:color w:val="auto"/>
              </w:rPr>
            </w:pPr>
          </w:p>
        </w:tc>
        <w:tc>
          <w:tcPr>
            <w:tcW w:w="242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Shaun Kraft</w:t>
            </w:r>
          </w:p>
        </w:tc>
      </w:tr>
      <w:tr>
        <w:trPr>
          <w:trHeight w:val="234"/>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MoneyHero Group Reports Third Quarter 2023 Results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FINANCIAL HIGHLIGHTS</w:t>
      </w:r>
      <w:r>
        <w:rPr>
          <w:rFonts w:ascii="Times New Roman" w:cs="Times New Roman" w:eastAsia="Times New Roman" w:hAnsi="Times New Roman"/>
          <w:sz w:val="26"/>
          <w:szCs w:val="26"/>
          <w:color w:val="auto"/>
          <w:vertAlign w:val="superscript"/>
        </w:rPr>
        <w:t>1</w:t>
      </w:r>
    </w:p>
    <w:p>
      <w:pPr>
        <w:spacing w:after="0" w:line="45" w:lineRule="exact"/>
        <w:rPr>
          <w:sz w:val="20"/>
          <w:szCs w:val="20"/>
          <w:color w:val="auto"/>
        </w:rPr>
      </w:pPr>
    </w:p>
    <w:p>
      <w:pPr>
        <w:ind w:left="3624" w:hanging="117"/>
        <w:spacing w:after="0"/>
        <w:tabs>
          <w:tab w:leader="none" w:pos="36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US$20.3 million, up 17% Year-Over-Year</w:t>
      </w:r>
    </w:p>
    <w:p>
      <w:pPr>
        <w:spacing w:after="0" w:line="97" w:lineRule="exact"/>
        <w:rPr>
          <w:rFonts w:ascii="Times New Roman" w:cs="Times New Roman" w:eastAsia="Times New Roman" w:hAnsi="Times New Roman"/>
          <w:sz w:val="18"/>
          <w:szCs w:val="18"/>
          <w:color w:val="auto"/>
        </w:rPr>
      </w:pPr>
    </w:p>
    <w:p>
      <w:pPr>
        <w:ind w:left="3624" w:hanging="107"/>
        <w:spacing w:after="0"/>
        <w:tabs>
          <w:tab w:leader="none" w:pos="36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to US$(1.3) million</w:t>
      </w:r>
    </w:p>
    <w:p>
      <w:pPr>
        <w:spacing w:after="0" w:line="221" w:lineRule="exact"/>
        <w:rPr>
          <w:sz w:val="20"/>
          <w:szCs w:val="20"/>
          <w:color w:val="auto"/>
        </w:rPr>
      </w:pPr>
    </w:p>
    <w:p>
      <w:pPr>
        <w:jc w:val="both"/>
        <w:ind w:left="4" w:right="520"/>
        <w:spacing w:after="0" w:line="268" w:lineRule="auto"/>
        <w:rPr>
          <w:sz w:val="20"/>
          <w:szCs w:val="20"/>
          <w:color w:val="auto"/>
        </w:rPr>
      </w:pPr>
      <w:r>
        <w:rPr>
          <w:rFonts w:ascii="Times New Roman" w:cs="Times New Roman" w:eastAsia="Times New Roman" w:hAnsi="Times New Roman"/>
          <w:sz w:val="18"/>
          <w:szCs w:val="18"/>
          <w:color w:val="auto"/>
        </w:rPr>
        <w:t>SINGAPORE — (Globe Newswire) — December 6, 2023 — MoneyHero Limited (Nasdaq:MNY) (“</w:t>
      </w:r>
      <w:r>
        <w:rPr>
          <w:rFonts w:ascii="Times New Roman" w:cs="Times New Roman" w:eastAsia="Times New Roman" w:hAnsi="Times New Roman"/>
          <w:sz w:val="18"/>
          <w:szCs w:val="18"/>
          <w:b w:val="1"/>
          <w:bCs w:val="1"/>
          <w:color w:val="auto"/>
        </w:rPr>
        <w:t>MoneyHero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market leading personal finance aggregation and comparison platform in Greater Southeast Asia, today announced financial results for the quarter ended September 30, 2023.</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117"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b w:val="1"/>
          <w:bCs w:val="1"/>
          <w:color w:val="auto"/>
        </w:rPr>
        <w:t>Prashant Aggarwal, Chief Executive Officer</w:t>
      </w:r>
      <w:r>
        <w:rPr>
          <w:rFonts w:ascii="Times New Roman" w:cs="Times New Roman" w:eastAsia="Times New Roman" w:hAnsi="Times New Roman"/>
          <w:sz w:val="18"/>
          <w:szCs w:val="18"/>
          <w:color w:val="auto"/>
        </w:rPr>
        <w:t>, stated, “In a robust display of market performance, MoneyHero Group achieved notable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multiple regions during the third quarter. In Singapore, revenues soared by 50% year-over-year to US$9.5 million, with the strongest growth coming from our credit cards and insurance verticals, thanks to aggressive marketing campaigns and an advantageous client mix. Our dominance in the market, further backed by our strong balance sheet post-merger, supports our ongoing strategy to expand market share over the long-term. In Hong Kong, we saw consistent growth that was driven by a diverse product portfolio, showcasing operational efficiency and adaptability. The Philippines continues to show strong growth in line with the market’s macroeconomic growth. In Taiwan, despite challenges associated with paused product offerings from certain key clients, our brand Money101 continues to witness a significant increase in user engagement, and continued investments are set to capture emerging growth opportunities. Notably, the insurance product segment across the Group has seen a 150% revenue increase in Q3 year-over-year, contributing significantly to group revenue. This segment exemplifies the huge untapped potential in Asian consumer finance, which remains a key area of our investment focus. Lastly, the growth of Creatory, our B2B business, aligns with increasing digitalization and content creation trends, positioning it as a key revenue contributor in the future.”</w:t>
      </w:r>
    </w:p>
    <w:p>
      <w:pPr>
        <w:spacing w:after="0" w:line="182" w:lineRule="exact"/>
        <w:rPr>
          <w:sz w:val="20"/>
          <w:szCs w:val="20"/>
          <w:color w:val="auto"/>
        </w:rPr>
      </w:pPr>
    </w:p>
    <w:p>
      <w:pPr>
        <w:ind w:left="4" w:right="100"/>
        <w:spacing w:after="0" w:line="273" w:lineRule="auto"/>
        <w:rPr>
          <w:sz w:val="20"/>
          <w:szCs w:val="20"/>
          <w:color w:val="auto"/>
        </w:rPr>
      </w:pPr>
      <w:r>
        <w:rPr>
          <w:rFonts w:ascii="Times New Roman" w:cs="Times New Roman" w:eastAsia="Times New Roman" w:hAnsi="Times New Roman"/>
          <w:sz w:val="17"/>
          <w:szCs w:val="17"/>
          <w:b w:val="1"/>
          <w:bCs w:val="1"/>
          <w:color w:val="auto"/>
        </w:rPr>
        <w:t>Shaun Kraft, Chief Financial Officer and Chief Operating Officer</w:t>
      </w:r>
      <w:r>
        <w:rPr>
          <w:rFonts w:ascii="Times New Roman" w:cs="Times New Roman" w:eastAsia="Times New Roman" w:hAnsi="Times New Roman"/>
          <w:sz w:val="17"/>
          <w:szCs w:val="17"/>
          <w:color w:val="auto"/>
        </w:rPr>
        <w:t>, added “MoneyHero Group delivered 17% year-over-year revenue growth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Adjusted EBITDA loss improved to US$(1.3m) in the third quarter of 2023. Excluding Taiwan, which has faced challenges this year, third quarter revenue increased 36% year-over-year. In the second half of 2022 and first half of 2023, we materially improved the underlying profitability profile of the business. Having fine-tuned our profitability levers, we are now re-focusing our efforts on accelerating top-line growth and market share expansion. This strategy began to yield results in Q3 2023, with 27% quarter-on-quarter revenue growth. Following our successful deSPAC transaction, where we raised approximately US$100 million, we are now better capitalized than ever. We have repaid all third-party debt and had a cash balance as of October 2023 of approximately US$70.5 million to support our growth strategy of capturing market share in Asia’s nascent digital personal finance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424" w:right="300" w:hanging="424"/>
        <w:spacing w:after="0" w:line="231"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financial results for the quarter ended September 30, 2023 being announced have been prepared on a standalone basis in respect of CompareAsia Group Capital Limited (“</w:t>
      </w:r>
      <w:r>
        <w:rPr>
          <w:rFonts w:ascii="Times New Roman" w:cs="Times New Roman" w:eastAsia="Times New Roman" w:hAnsi="Times New Roman"/>
          <w:sz w:val="18"/>
          <w:szCs w:val="18"/>
          <w:b w:val="1"/>
          <w:bCs w:val="1"/>
          <w:color w:val="auto"/>
        </w:rPr>
        <w:t>CAGCL</w:t>
      </w:r>
      <w:r>
        <w:rPr>
          <w:rFonts w:ascii="Times New Roman" w:cs="Times New Roman" w:eastAsia="Times New Roman" w:hAnsi="Times New Roman"/>
          <w:sz w:val="18"/>
          <w:szCs w:val="18"/>
          <w:color w:val="auto"/>
        </w:rPr>
        <w:t>”) and its subsidiaries. CAGCL was the parent company of MoneyHero Group prior to completion of the business combination with Bridgetown (as further detailed below). As a result of the business combination with Bridgetown, which was completed on October 12, 2023, MoneyHero Limited became the parent company of CAGCL and its subsidiaries (together, “</w:t>
      </w:r>
      <w:r>
        <w:rPr>
          <w:rFonts w:ascii="Times New Roman" w:cs="Times New Roman" w:eastAsia="Times New Roman" w:hAnsi="Times New Roman"/>
          <w:sz w:val="18"/>
          <w:szCs w:val="18"/>
          <w:b w:val="1"/>
          <w:bCs w:val="1"/>
          <w:color w:val="auto"/>
        </w:rPr>
        <w:t>MoneyHero Group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2023 Financial Highlights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17% year-over-year to US$20.3 million in the third quarter of 2023</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financial comparison platforms revenue increased 9% year-over-year to US$16.6 million</w:t>
      </w:r>
    </w:p>
    <w:p>
      <w:pPr>
        <w:spacing w:after="0" w:line="130"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Creatory, our B2B business, revenue increased by 70% year-over-year and contributed to 18% of Group revenue in the third quarter of 2023, as compared to 12% in the prior year quarter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markets:</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revenue increased 50% year-over-year to US$9.5 million in the third quarter, with the strongest growth coming from the credit cards and insurance verticals</w:t>
      </w:r>
    </w:p>
    <w:p>
      <w:pPr>
        <w:spacing w:after="0" w:line="67" w:lineRule="exact"/>
        <w:rPr>
          <w:rFonts w:ascii="Times New Roman" w:cs="Times New Roman" w:eastAsia="Times New Roman" w:hAnsi="Times New Roman"/>
          <w:sz w:val="18"/>
          <w:szCs w:val="18"/>
          <w:color w:val="auto"/>
        </w:rPr>
      </w:pPr>
    </w:p>
    <w:p>
      <w:pPr>
        <w:ind w:left="1420" w:right="4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revenue increased 23% year-over-year to US$6.9 million in the third quarter, with the strongest growth coming from the insurance and personal loans verticals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 revenue increased 39% year-over-year to US$2.7 million, with the strongest growth achieved in the credit card vertical</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Taiwan revenue decreased 69% year-over-year to US$1.0 million due to paused product offerings for certain key clients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150% year-over-year to US$1.5 million in the third quarter of 2023, contributing 7.4% of Group revenue, as compared to 3.4% in the prior year quarter</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decreased by US$8.7 million from US$34.8 million in the third quarter of 2022 to US$26.2 million in the third quarter of 2023</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from US$(3.0) million in the third quarter of 2022 to US$(1.3) million in the third quarter of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2023 Operational Highlights</w:t>
      </w:r>
    </w:p>
    <w:p>
      <w:pPr>
        <w:spacing w:after="0" w:line="135" w:lineRule="exact"/>
        <w:rPr>
          <w:sz w:val="20"/>
          <w:szCs w:val="20"/>
          <w:color w:val="auto"/>
        </w:rPr>
      </w:pPr>
    </w:p>
    <w:p>
      <w:pPr>
        <w:ind w:left="960" w:right="2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grew 15% year-over-year to 8.6 million in the third quarter of 2023 on the back of strong user growth in Taiwan and the Philippines</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we can provide more tailored product information and recommendations, grew 48% year-over-year to 4.7 million in the third quarter of 2023 due to member growth across Singapore, Hong Kong, Taiwan and the Philippines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 volumes increased 76% year-over-year in the third quarter to 172 thousand, supported by strong growth in insurance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color w:val="auto"/>
        </w:rPr>
        <w:t>On October 12, 2023, MoneyHero completed its business combination with Bridgetown Holdings Limited (“</w:t>
      </w:r>
      <w:r>
        <w:rPr>
          <w:rFonts w:ascii="Times New Roman" w:cs="Times New Roman" w:eastAsia="Times New Roman" w:hAnsi="Times New Roman"/>
          <w:sz w:val="18"/>
          <w:szCs w:val="18"/>
          <w:b w:val="1"/>
          <w:bCs w:val="1"/>
          <w:color w:val="auto"/>
        </w:rPr>
        <w:t>Bridgetown</w:t>
      </w:r>
      <w:r>
        <w:rPr>
          <w:rFonts w:ascii="Times New Roman" w:cs="Times New Roman" w:eastAsia="Times New Roman" w:hAnsi="Times New Roman"/>
          <w:sz w:val="18"/>
          <w:szCs w:val="18"/>
          <w:color w:val="auto"/>
        </w:rPr>
        <w:t>”), a special purpose acquisition company formed as a collaboration between Pacific Century Group and Thiel Capital LLC.</w:t>
      </w:r>
    </w:p>
    <w:p>
      <w:pPr>
        <w:spacing w:after="0" w:line="15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 connection with the business combination, MoneyHero received approximately US$99.9 million in gross proceeds entirely through the contribution of cash held in Bridgetown’s trust account, after taking into account the redemptions of approximately 36% of Bridgetown’s class A ordinary shares. Post the settlement of transaction expenses, net proceeds received from the business combination amounted to approximately US$87.0 million.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jc w:val="both"/>
        <w:ind w:right="4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upon closing of the business combination, PCCW Media International Limited (“</w:t>
      </w:r>
      <w:r>
        <w:rPr>
          <w:rFonts w:ascii="Times New Roman" w:cs="Times New Roman" w:eastAsia="Times New Roman" w:hAnsi="Times New Roman"/>
          <w:sz w:val="18"/>
          <w:szCs w:val="18"/>
          <w:b w:val="1"/>
          <w:bCs w:val="1"/>
          <w:color w:val="auto"/>
        </w:rPr>
        <w:t>PMIL</w:t>
      </w:r>
      <w:r>
        <w:rPr>
          <w:rFonts w:ascii="Times New Roman" w:cs="Times New Roman" w:eastAsia="Times New Roman" w:hAnsi="Times New Roman"/>
          <w:sz w:val="18"/>
          <w:szCs w:val="18"/>
          <w:color w:val="auto"/>
        </w:rPr>
        <w:t>”) exercised its call option and subscribed for 5 million fixed rate unsecured loan notes for an aggregate principal amount of US$5.0 million. As part of the exercise of its call option, PMIL also received 2,005,460 Class A ordinary shares of the Company for no consideration.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the end of October 2023, the Group made a voluntary prepayment of all its outstanding loan notes and accrued but unpaid interest in an aggregate amount of approximately US$32.7 million.</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of October 31, 2023, MoneyHero held a cash amount of approximately US$70.5 million, consisting of (i) approximately US$59.3 million in net proceeds from the business combination after the exercise by PMIL of its call option and prepayment of all of MoneyHero’s outstanding loans and (ii) approximately US$11.2 million in existing cash before the business combination.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the closing of the business combination to date, a total of 983,599 shares were converted from preference shares to Class A ordinary shares. As of the date of this earnings release, there are 25,280,667 Class A ordinary shares, 13,254,838 Class B ordinary shares and 3,466,820 preference shares issued and outstanding.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44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Summary of financial / KPI performance</w:t>
            </w: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10"/>
          </w:tcPr>
          <w:p>
            <w:pPr>
              <w:jc w:val="right"/>
              <w:ind w:right="220"/>
              <w:spacing w:after="0"/>
              <w:rPr>
                <w:sz w:val="20"/>
                <w:szCs w:val="20"/>
                <w:color w:val="auto"/>
              </w:rPr>
            </w:pPr>
            <w:r>
              <w:rPr>
                <w:rFonts w:ascii="Times New Roman" w:cs="Times New Roman" w:eastAsia="Times New Roman" w:hAnsi="Times New Roman"/>
                <w:sz w:val="14"/>
                <w:szCs w:val="14"/>
                <w:color w:val="auto"/>
              </w:rPr>
              <w:t>For the Three Months</w:t>
            </w:r>
          </w:p>
        </w:tc>
        <w:tc>
          <w:tcPr>
            <w:tcW w:w="80" w:type="dxa"/>
            <w:vAlign w:val="bottom"/>
          </w:tcPr>
          <w:p>
            <w:pPr>
              <w:spacing w:after="0"/>
              <w:rPr>
                <w:sz w:val="13"/>
                <w:szCs w:val="13"/>
                <w:color w:val="auto"/>
              </w:rPr>
            </w:pPr>
          </w:p>
        </w:tc>
        <w:tc>
          <w:tcPr>
            <w:tcW w:w="14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color w:val="auto"/>
              </w:rPr>
              <w:t>For the Nine Months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4420" w:type="dxa"/>
            <w:vAlign w:val="bottom"/>
            <w:gridSpan w:val="5"/>
            <w:vMerge w:val="continue"/>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10"/>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Ended September 30,</w:t>
            </w:r>
          </w:p>
        </w:tc>
        <w:tc>
          <w:tcPr>
            <w:tcW w:w="1480" w:type="dxa"/>
            <w:vAlign w:val="bottom"/>
            <w:gridSpan w:val="9"/>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Ended September 30,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gridSpan w:val="13"/>
          </w:tcPr>
          <w:p>
            <w:pPr>
              <w:ind w:left="80"/>
              <w:spacing w:after="0" w:line="155" w:lineRule="exact"/>
              <w:rPr>
                <w:sz w:val="20"/>
                <w:szCs w:val="20"/>
                <w:color w:val="auto"/>
              </w:rPr>
            </w:pPr>
            <w:r>
              <w:rPr>
                <w:rFonts w:ascii="Times New Roman" w:cs="Times New Roman" w:eastAsia="Times New Roman" w:hAnsi="Times New Roman"/>
                <w:sz w:val="14"/>
                <w:szCs w:val="14"/>
                <w:color w:val="auto"/>
              </w:rPr>
              <w:t>(US$ in thousands, unless otherwise</w:t>
            </w:r>
          </w:p>
        </w:tc>
        <w:tc>
          <w:tcPr>
            <w:tcW w:w="6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noted)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20,250</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17,332</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55,142</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50,895</w:t>
            </w: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(2,199)</w:t>
            </w:r>
          </w:p>
        </w:tc>
        <w:tc>
          <w:tcPr>
            <w:tcW w:w="6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(13,136)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Clicks (in thousands)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2,084</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5,975</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4,237</w:t>
            </w: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Applications (in thousands)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40" w:type="dxa"/>
            <w:vAlign w:val="bottom"/>
          </w:tcPr>
          <w:p>
            <w:pPr>
              <w:spacing w:after="0"/>
              <w:rPr>
                <w:sz w:val="18"/>
                <w:szCs w:val="18"/>
                <w:color w:val="auto"/>
              </w:rPr>
            </w:pPr>
          </w:p>
        </w:tc>
        <w:tc>
          <w:tcPr>
            <w:tcW w:w="68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1,207</w:t>
            </w: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Applications (in thousands)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6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breakdown</w:t>
            </w:r>
          </w:p>
        </w:tc>
        <w:tc>
          <w:tcPr>
            <w:tcW w:w="1160" w:type="dxa"/>
            <w:vAlign w:val="bottom"/>
          </w:tcPr>
          <w:p>
            <w:pPr>
              <w:spacing w:after="0"/>
              <w:rPr>
                <w:sz w:val="24"/>
                <w:szCs w:val="24"/>
                <w:color w:val="auto"/>
              </w:rPr>
            </w:pPr>
          </w:p>
        </w:tc>
        <w:tc>
          <w:tcPr>
            <w:tcW w:w="2540" w:type="dxa"/>
            <w:vAlign w:val="bottom"/>
            <w:gridSpan w:val="12"/>
          </w:tcPr>
          <w:p>
            <w:pPr>
              <w:ind w:left="4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5"/>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8"/>
          </w:tcPr>
          <w:p>
            <w:pPr>
              <w:jc w:val="right"/>
              <w:ind w:right="440"/>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4"/>
          </w:tcPr>
          <w:p>
            <w:pPr>
              <w:ind w:left="1600"/>
              <w:spacing w:after="0" w:line="142" w:lineRule="exact"/>
              <w:rPr>
                <w:sz w:val="20"/>
                <w:szCs w:val="20"/>
                <w:color w:val="auto"/>
              </w:rPr>
            </w:pPr>
            <w:r>
              <w:rPr>
                <w:rFonts w:ascii="Times New Roman" w:cs="Times New Roman" w:eastAsia="Times New Roman" w:hAnsi="Times New Roman"/>
                <w:sz w:val="14"/>
                <w:szCs w:val="14"/>
                <w:color w:val="auto"/>
                <w:w w:val="99"/>
              </w:rPr>
              <w:t>2023</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5"/>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6"/>
          </w:tcPr>
          <w:p>
            <w:pPr>
              <w:ind w:left="58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5"/>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160" w:type="dxa"/>
            <w:vAlign w:val="bottom"/>
            <w:tcBorders>
              <w:top w:val="single" w:sz="8" w:color="auto"/>
            </w:tcBorders>
            <w:gridSpan w:val="2"/>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13"/>
          </w:tcPr>
          <w:p>
            <w:pPr>
              <w:jc w:val="right"/>
              <w:spacing w:after="0" w:line="155" w:lineRule="exact"/>
              <w:rPr>
                <w:sz w:val="20"/>
                <w:szCs w:val="20"/>
                <w:color w:val="auto"/>
              </w:rPr>
            </w:pPr>
            <w:r>
              <w:rPr>
                <w:rFonts w:ascii="Times New Roman" w:cs="Times New Roman" w:eastAsia="Times New Roman" w:hAnsi="Times New Roman"/>
                <w:sz w:val="14"/>
                <w:szCs w:val="14"/>
                <w:color w:val="auto"/>
              </w:rPr>
              <w:t>(US$ in thousands, except for percentages)</w:t>
            </w: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9,451</w:t>
            </w:r>
          </w:p>
        </w:tc>
        <w:tc>
          <w:tcPr>
            <w:tcW w:w="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6,320</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20,720</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17,209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6,857</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5,577</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18,575</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16,488</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Taiwan</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3,136</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4,775</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2,655</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1,912</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10,283</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7,482</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420" w:type="dxa"/>
            <w:vAlign w:val="bottom"/>
            <w:gridSpan w:val="5"/>
            <w:shd w:val="clear" w:color="auto" w:fill="CCEEFF"/>
          </w:tcPr>
          <w:p>
            <w:pPr>
              <w:ind w:left="160"/>
              <w:spacing w:after="0" w:line="216" w:lineRule="exact"/>
              <w:rPr>
                <w:sz w:val="20"/>
                <w:szCs w:val="20"/>
                <w:color w:val="auto"/>
              </w:rPr>
            </w:pPr>
            <w:r>
              <w:rPr>
                <w:rFonts w:ascii="Times New Roman" w:cs="Times New Roman" w:eastAsia="Times New Roman" w:hAnsi="Times New Roman"/>
                <w:sz w:val="17"/>
                <w:szCs w:val="17"/>
                <w:color w:val="auto"/>
              </w:rPr>
              <w:t>Thailand</w:t>
            </w:r>
            <w:r>
              <w:rPr>
                <w:rFonts w:ascii="Times New Roman" w:cs="Times New Roman" w:eastAsia="Times New Roman" w:hAnsi="Times New Roman"/>
                <w:sz w:val="25"/>
                <w:szCs w:val="25"/>
                <w:color w:val="auto"/>
                <w:vertAlign w:val="superscript"/>
              </w:rPr>
              <w:t>2</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20,250</w:t>
            </w:r>
          </w:p>
        </w:tc>
        <w:tc>
          <w:tcPr>
            <w:tcW w:w="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17,332</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55,142</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50,895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100.0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3400" w:type="dxa"/>
            <w:vAlign w:val="bottom"/>
            <w:gridSpan w:val="3"/>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44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We ceased our operations in Thailand in 2022.</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45,834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43,632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Creatory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20,250</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55,142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50,895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5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cards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13,316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40,996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37,227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verticals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20,250</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55,142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50,895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5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26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5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65"/>
        </w:trPr>
        <w:tc>
          <w:tcPr>
            <w:tcW w:w="58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3"/>
          </w:tcPr>
          <w:p>
            <w:pPr>
              <w:jc w:val="right"/>
              <w:ind w:right="132"/>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3"/>
          </w:tcPr>
          <w:p>
            <w:pPr>
              <w:jc w:val="right"/>
              <w:ind w:right="131"/>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top w:val="single" w:sz="8" w:color="auto"/>
            </w:tcBorders>
          </w:tcPr>
          <w:p>
            <w:pPr>
              <w:spacing w:after="0"/>
              <w:rPr>
                <w:sz w:val="12"/>
                <w:szCs w:val="12"/>
                <w:color w:val="auto"/>
              </w:rPr>
            </w:pPr>
          </w:p>
        </w:tc>
        <w:tc>
          <w:tcPr>
            <w:tcW w:w="50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1"/>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1"/>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(in millions, except</w:t>
            </w:r>
          </w:p>
        </w:tc>
        <w:tc>
          <w:tcPr>
            <w:tcW w:w="1000" w:type="dxa"/>
            <w:vAlign w:val="bottom"/>
            <w:gridSpan w:val="2"/>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w w:val="98"/>
              </w:rPr>
              <w:t>for percentage)</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Singapore</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Hong Kong</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Taiwan</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Philippines</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Malaysia</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Traffic</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Hong Kong</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Taiwan</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Philippines</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Malaysia</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98.5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86.0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MoneyHero Group Members</w:t>
            </w:r>
            <w:r>
              <w:rPr>
                <w:rFonts w:ascii="Times New Roman" w:cs="Times New Roman" w:eastAsia="Times New Roman" w:hAnsi="Times New Roman"/>
                <w:sz w:val="25"/>
                <w:szCs w:val="25"/>
                <w:b w:val="1"/>
                <w:bCs w:val="1"/>
                <w:color w:val="auto"/>
                <w:vertAlign w:val="superscript"/>
              </w:rPr>
              <w:t>3</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Singapore</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Hong Kong</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Taiwan</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Philippines</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Malaysia</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The Company will host a conference call and webcast on Wednesday, December 6, 2023, at 8:00 a.m. Eastern Standard Time / 9:00 p.m. Singapore Standard Time to discuss the Company’s financial results. The MoneyHero Group (NASDAQ: MNY) Q3 2023 Earnings call can be accessed by registering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5464" w:right="4780" w:hanging="5464"/>
        <w:spacing w:after="0" w:line="334" w:lineRule="auto"/>
        <w:tabs>
          <w:tab w:leader="none" w:pos="433"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MoneyHero Group Members as of September 30, 2023 and September 30, 2022. 4</w:t>
      </w:r>
    </w:p>
    <w:p>
      <w:pPr>
        <w:sectPr>
          <w:pgSz w:w="11900" w:h="16838" w:orient="portrait"/>
          <w:cols w:equalWidth="0" w:num="1">
            <w:col w:w="11024"/>
          </w:cols>
          <w:pgMar w:left="436" w:top="288"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Webcast: </w:t>
      </w:r>
      <w:r>
        <w:rPr>
          <w:rFonts w:ascii="Times New Roman" w:cs="Times New Roman" w:eastAsia="Times New Roman" w:hAnsi="Times New Roman"/>
          <w:sz w:val="18"/>
          <w:szCs w:val="18"/>
          <w:u w:val="single" w:color="auto"/>
          <w:color w:val="auto"/>
        </w:rPr>
        <w:t>https://edge.media-server.com/mmc/p/ik2787q3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Conference call: </w:t>
      </w:r>
      <w:r>
        <w:rPr>
          <w:rFonts w:ascii="Times New Roman" w:cs="Times New Roman" w:eastAsia="Times New Roman" w:hAnsi="Times New Roman"/>
          <w:sz w:val="18"/>
          <w:szCs w:val="18"/>
          <w:u w:val="single" w:color="auto"/>
          <w:color w:val="auto"/>
        </w:rPr>
        <w:t>https://register.vevent.com/register/BI51ed0b3fe8584266bcfa4335f51ad70c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MoneyHero Group, formerly known as Hyphen Group or CompareAsia Group, is a market leader in the online personal finance aggregation and comparison sector in Greater Southeast Asia. The Company operates in Singapore, Hong Kong, Taiwan, the Philippines and Malaysia with respective local market brands, and currently has 278 commercial partner relationships as of September 30, 2023 and 8.9 million Monthly Unique Users for the nine months ended September 30,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vertical on a tagged “Apply Now”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year/period and loss before income tax.</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year/period plus depreciation and amortization, interest income, finance costs, income tax expenses/(credit), impairments of assets when the impairment is the result of an isolated, non-recurring event, equity-settled share option expense, other long-term employee benefits expense, employee severance expenses, transaction expenses including certain one-off audit and legal fees, changes on fair value of financial instruments, gain on derecognition of convertible loan and bridge loan, unrealized foreign exchange loss minus government subsidies. Adjusted EBITDA Margin is defined as Adjusted EBITDA as a percentage of revenue.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 from U.S. GAAP.</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80" w:type="dxa"/>
            <w:vAlign w:val="bottom"/>
          </w:tcPr>
          <w:p>
            <w:pPr>
              <w:spacing w:after="0"/>
              <w:rPr>
                <w:sz w:val="13"/>
                <w:szCs w:val="13"/>
                <w:color w:val="auto"/>
              </w:rPr>
            </w:pPr>
          </w:p>
        </w:tc>
        <w:tc>
          <w:tcPr>
            <w:tcW w:w="23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65"/>
        </w:trPr>
        <w:tc>
          <w:tcPr>
            <w:tcW w:w="460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gridSpan w:val="4"/>
          </w:tcPr>
          <w:p>
            <w:pPr>
              <w:jc w:val="right"/>
              <w:ind w:right="1020"/>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2080" w:type="dxa"/>
            <w:vAlign w:val="bottom"/>
            <w:gridSpan w:val="4"/>
          </w:tcPr>
          <w:p>
            <w:pPr>
              <w:jc w:val="right"/>
              <w:ind w:right="760"/>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62"/>
        </w:trPr>
        <w:tc>
          <w:tcPr>
            <w:tcW w:w="1140" w:type="dxa"/>
            <w:vAlign w:val="bottom"/>
            <w:tcBorders>
              <w:top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(US$ in thousands)</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(7,204)</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(16,798)</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(78,305)</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(46,593)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expenses/(credit)</w:t>
            </w:r>
          </w:p>
        </w:tc>
        <w:tc>
          <w:tcPr>
            <w:tcW w:w="2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(262)</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1,201</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1,168</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3,601</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(193)</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1,802</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1,327</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5,371</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6,798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(261)</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0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4,094</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other intangible assets</w:t>
            </w: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1,503</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Equity-settled share option expense</w:t>
            </w:r>
          </w:p>
        </w:tc>
        <w:tc>
          <w:tcPr>
            <w:tcW w:w="2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181</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2,149</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976</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6,447</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tc>
        <w:tc>
          <w:tcPr>
            <w:tcW w:w="2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194</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expenses</w:t>
            </w:r>
          </w:p>
        </w:tc>
        <w:tc>
          <w:tcPr>
            <w:tcW w:w="10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213</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2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1,292</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4,904</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on fair value of financial instruments</w:t>
            </w:r>
          </w:p>
        </w:tc>
        <w:tc>
          <w:tcPr>
            <w:tcW w:w="2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(481)</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(1,506)</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57,456</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derecognition of convertible loan and bridge loan</w:t>
            </w: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tc>
        <w:tc>
          <w:tcPr>
            <w:tcW w:w="2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1,798</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5,304</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3,868</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(1,264)</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(3,042)</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(2,199)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(13,136)</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20,250</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17,332</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55,142</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50,895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(1,264)</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(3,042)</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(13,136)</w:t>
            </w: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(25.8)%</w:t>
            </w:r>
          </w:p>
        </w:tc>
        <w:tc>
          <w:tcPr>
            <w:tcW w:w="0" w:type="dxa"/>
            <w:vAlign w:val="bottom"/>
          </w:tcPr>
          <w:p>
            <w:pPr>
              <w:spacing w:after="0"/>
              <w:rPr>
                <w:sz w:val="1"/>
                <w:szCs w:val="1"/>
                <w:color w:val="auto"/>
              </w:rPr>
            </w:pPr>
          </w:p>
        </w:tc>
      </w:tr>
      <w:tr>
        <w:trPr>
          <w:trHeight w:val="342"/>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registration statement on Form F-1, which was initially filed with the U.S. Securities and Exchange Commission (the “SEC”) on October 27, 2023, and other documents to be filed by the Company from time to time with the SEC.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investor and media inquiries,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ir@moneyherogroup.com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w:t>
      </w:r>
      <w:r>
        <w:rPr>
          <w:rFonts w:ascii="Times New Roman" w:cs="Times New Roman" w:eastAsia="Times New Roman" w:hAnsi="Times New Roman"/>
          <w:sz w:val="18"/>
          <w:szCs w:val="18"/>
          <w:u w:val="single" w:color="auto"/>
          <w:color w:val="auto"/>
        </w:rPr>
        <w:t>press@moneyherogroup.com</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19"/>
          </w:cols>
          <w:pgMar w:left="440" w:top="266" w:right="1440"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Condensed Consolidated Statements of Profit or Loss and Other Comprehensive Income</w:t>
      </w:r>
    </w:p>
    <w:p>
      <w:pPr>
        <w:spacing w:after="0" w:line="239"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For the Three Months</w:t>
            </w:r>
          </w:p>
        </w:tc>
        <w:tc>
          <w:tcPr>
            <w:tcW w:w="16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For the Nine Months</w:t>
            </w:r>
          </w:p>
        </w:tc>
      </w:tr>
      <w:tr>
        <w:trPr>
          <w:trHeight w:val="171"/>
        </w:trPr>
        <w:tc>
          <w:tcPr>
            <w:tcW w:w="6620" w:type="dxa"/>
            <w:vAlign w:val="bottom"/>
          </w:tcPr>
          <w:p>
            <w:pPr>
              <w:spacing w:after="0"/>
              <w:rPr>
                <w:sz w:val="14"/>
                <w:szCs w:val="14"/>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Ended September 30,</w:t>
            </w: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Ended September 30,</w:t>
            </w:r>
          </w:p>
        </w:tc>
      </w:tr>
      <w:tr>
        <w:trPr>
          <w:trHeight w:val="155"/>
        </w:trPr>
        <w:tc>
          <w:tcPr>
            <w:tcW w:w="6620" w:type="dxa"/>
            <w:vAlign w:val="bottom"/>
          </w:tcPr>
          <w:p>
            <w:pPr>
              <w:spacing w:after="0"/>
              <w:rPr>
                <w:sz w:val="13"/>
                <w:szCs w:val="13"/>
                <w:color w:val="auto"/>
              </w:rPr>
            </w:pPr>
          </w:p>
        </w:tc>
        <w:tc>
          <w:tcPr>
            <w:tcW w:w="600" w:type="dxa"/>
            <w:vAlign w:val="bottom"/>
            <w:tcBorders>
              <w:top w:val="single" w:sz="8" w:color="auto"/>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32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3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32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3"/>
                <w:szCs w:val="13"/>
                <w:color w:val="auto"/>
              </w:rPr>
            </w:pPr>
          </w:p>
        </w:tc>
      </w:tr>
      <w:tr>
        <w:trPr>
          <w:trHeight w:val="156"/>
        </w:trPr>
        <w:tc>
          <w:tcPr>
            <w:tcW w:w="6620" w:type="dxa"/>
            <w:vAlign w:val="bottom"/>
          </w:tcPr>
          <w:p>
            <w:pPr>
              <w:spacing w:after="0"/>
              <w:rPr>
                <w:sz w:val="13"/>
                <w:szCs w:val="13"/>
                <w:color w:val="auto"/>
              </w:rPr>
            </w:pPr>
          </w:p>
        </w:tc>
        <w:tc>
          <w:tcPr>
            <w:tcW w:w="3400" w:type="dxa"/>
            <w:vAlign w:val="bottom"/>
            <w:gridSpan w:val="7"/>
          </w:tcPr>
          <w:p>
            <w:pPr>
              <w:jc w:val="right"/>
              <w:ind w:right="331"/>
              <w:spacing w:after="0" w:line="155" w:lineRule="exact"/>
              <w:rPr>
                <w:sz w:val="20"/>
                <w:szCs w:val="20"/>
                <w:color w:val="auto"/>
              </w:rPr>
            </w:pPr>
            <w:r>
              <w:rPr>
                <w:rFonts w:ascii="Times New Roman" w:cs="Times New Roman" w:eastAsia="Times New Roman" w:hAnsi="Times New Roman"/>
                <w:sz w:val="14"/>
                <w:szCs w:val="14"/>
                <w:color w:val="auto"/>
              </w:rPr>
              <w:t>(US$ in thousands except for loss per share)</w:t>
            </w:r>
          </w:p>
        </w:tc>
        <w:tc>
          <w:tcPr>
            <w:tcW w:w="100" w:type="dxa"/>
            <w:vAlign w:val="bottom"/>
          </w:tcPr>
          <w:p>
            <w:pPr>
              <w:spacing w:after="0"/>
              <w:rPr>
                <w:sz w:val="13"/>
                <w:szCs w:val="13"/>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20,250</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17,332</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55,142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50,895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(11,203)</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(8,967)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(27,197)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(25,761)</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(11,134)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(13,227)</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(1,815)</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(5,072)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(4,679)</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(14,396)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(25,209)</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(7,110)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(8,862)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(10,422)</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(11,216)</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(5,932)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(17,509)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(15,665)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(39,618)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269</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costs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(5,371)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(6,798)</w:t>
            </w:r>
          </w:p>
        </w:tc>
      </w:tr>
      <w:tr>
        <w:trPr>
          <w:trHeight w:val="216"/>
        </w:trPr>
        <w:tc>
          <w:tcPr>
            <w:tcW w:w="66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Changes in fair value of financial instruments</w:t>
            </w:r>
            <w:r>
              <w:rPr>
                <w:rFonts w:ascii="Times New Roman" w:cs="Times New Roman" w:eastAsia="Times New Roman" w:hAnsi="Times New Roman"/>
                <w:sz w:val="25"/>
                <w:szCs w:val="25"/>
                <w:color w:val="auto"/>
                <w:vertAlign w:val="superscript"/>
              </w:rPr>
              <w:t>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(57,456)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(7,178)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(17,060)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(78,245)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(46,851)</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expense/(credit)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(7,204)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(16,798)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(78,305)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(46,593)</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comprehensive income that may be classified to profit or loss in subsequent</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periods (net of tax):</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1,604</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4,487</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8,784</w:t>
            </w:r>
          </w:p>
        </w:tc>
      </w:tr>
      <w:tr>
        <w:trPr>
          <w:trHeight w:val="198"/>
        </w:trPr>
        <w:tc>
          <w:tcPr>
            <w:tcW w:w="6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comprehensive income that will not be reclassified to profit or loss in</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gains/(losses) on defined benefit plan</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for the year, net of tax</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1,618</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4,495</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(5,586)</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(12,304)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(75,048)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(37,752)</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ordinary equity holders of the parent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jc w:val="both"/>
        <w:ind w:left="424" w:hanging="424"/>
        <w:spacing w:after="0" w:line="220"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Changes in fair value of financial instruments relate to re-measurement of the fair values of the warrant liabilities and other derivative financial instruments on the Group’s statement of financial position that are to be settled by the Group through issuance of equity without having to incur incremental cash outflows.</w:t>
      </w:r>
    </w:p>
    <w:p>
      <w:pPr>
        <w:spacing w:after="0" w:line="132"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4"/>
          </w:cols>
          <w:pgMar w:left="436" w:top="266" w:right="6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Condensed Consolidated Statements of Financial Position</w:t>
      </w:r>
      <w:r>
        <w:rPr>
          <w:rFonts w:ascii="Times New Roman" w:cs="Times New Roman" w:eastAsia="Times New Roman" w:hAnsi="Times New Roman"/>
          <w:sz w:val="26"/>
          <w:szCs w:val="26"/>
          <w:b w:val="1"/>
          <w:bCs w:val="1"/>
          <w:color w:val="auto"/>
          <w:vertAlign w:val="superscript"/>
        </w:rPr>
        <w:t>5</w:t>
      </w:r>
    </w:p>
    <w:p>
      <w:pPr>
        <w:spacing w:after="0" w:line="147"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As of</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(US$ in thousands)</w:t>
            </w: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2023</w:t>
            </w:r>
          </w:p>
        </w:tc>
        <w:tc>
          <w:tcPr>
            <w:tcW w:w="5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13,033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14,129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15,608</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13,004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13,566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4,312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14,315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45,410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48,644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17,415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12,254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derivative financial instruments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11,883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60,819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103,098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(LIABILITIES)/ASSETS</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(57,688)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LESS CURRENT LIABILITIES</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(43,559)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borrowings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14,072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14,701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(liabilities)/assets</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(58,260)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(58,262)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(58,260)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5" w:lineRule="exact"/>
        <w:rPr>
          <w:sz w:val="20"/>
          <w:szCs w:val="20"/>
          <w:color w:val="auto"/>
        </w:rPr>
      </w:pPr>
    </w:p>
    <w:p>
      <w:pPr>
        <w:ind w:left="224" w:hanging="224"/>
        <w:spacing w:after="0" w:line="220" w:lineRule="auto"/>
        <w:tabs>
          <w:tab w:leader="none" w:pos="2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Group had net current liabilities and net liabilities of approximately US$(57.7) million and US$(58.3) million as at 30 September 2023, of which approximately US$60.8 million and US$11.9 million were attributable to warrant liabilities and other derivative financial instruments, respectively, that are to be settled by the Group through issuance of equity without having to incur incremental cash outflows.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2023-12-06T06:38:58Z</dcterms:created>
  <dcterms:modified xsi:type="dcterms:W3CDTF">2023-12-06T06:38:58Z</dcterms:modified>
</cp:coreProperties>
</file>