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06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2025</w:t>
            </w: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Rohith Murthy</w:t>
            </w:r>
          </w:p>
        </w:tc>
      </w:tr>
      <w:tr>
        <w:trPr>
          <w:trHeight w:val="198"/>
        </w:trPr>
        <w:tc>
          <w:tcPr>
            <w:tcW w:w="3680" w:type="dxa"/>
            <w:vAlign w:val="bottom"/>
          </w:tcPr>
          <w:p>
            <w:pPr>
              <w:spacing w:after="0"/>
              <w:rPr>
                <w:sz w:val="17"/>
                <w:szCs w:val="17"/>
                <w:color w:val="auto"/>
              </w:rPr>
            </w:pPr>
          </w:p>
        </w:tc>
        <w:tc>
          <w:tcPr>
            <w:tcW w:w="3640" w:type="dxa"/>
            <w:vAlign w:val="bottom"/>
          </w:tcPr>
          <w:p>
            <w:pPr>
              <w:ind w:left="3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Rohith Murthy</w:t>
            </w:r>
          </w:p>
        </w:tc>
      </w:tr>
      <w:tr>
        <w:trPr>
          <w:trHeight w:val="234"/>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156845</wp:posOffset>
            </wp:positionV>
            <wp:extent cx="3343275" cy="968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Group Reports Third Quarter 2025 Results</w:t>
      </w:r>
    </w:p>
    <w:p>
      <w:pPr>
        <w:spacing w:after="0" w:line="229" w:lineRule="exact"/>
        <w:rPr>
          <w:sz w:val="20"/>
          <w:szCs w:val="20"/>
          <w:color w:val="auto"/>
        </w:rPr>
      </w:pPr>
    </w:p>
    <w:p>
      <w:pPr>
        <w:ind w:left="820" w:hanging="326"/>
        <w:spacing w:after="0" w:line="282"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regained growth momentum, increasing 17% QoQ and 1% YoY, marking the second consecutive quarter of double-digit sequential growth and reflecting improving revenue quality</w:t>
      </w:r>
    </w:p>
    <w:p>
      <w:pPr>
        <w:spacing w:after="0" w:line="188"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narrowed by 68% YoY to US$(1.8) million and Adjusted EBITDA margin improved to -8.4%, supported by an improving revenue mix, growing partnership ecosystem, and AI-driven efficiency gains</w:t>
      </w:r>
    </w:p>
    <w:p>
      <w:pPr>
        <w:spacing w:after="0" w:line="188"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fell by 13% YoY to US$23.9 million, driven by disciplined cost management and AI-enabled efficiency gains in marketing and advertising, technology, and employee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SINGAPORE, December 5, 2025 (GLOBE NEWSWIRE) -- </w:t>
      </w:r>
      <w:r>
        <w:rPr>
          <w:rFonts w:ascii="Times New Roman" w:cs="Times New Roman" w:eastAsia="Times New Roman" w:hAnsi="Times New Roman"/>
          <w:sz w:val="18"/>
          <w:szCs w:val="18"/>
          <w:u w:val="single" w:color="auto"/>
          <w:color w:val="auto"/>
        </w:rPr>
        <w:t>MoneyHero Limited</w:t>
      </w:r>
      <w:r>
        <w:rPr>
          <w:rFonts w:ascii="Times New Roman" w:cs="Times New Roman" w:eastAsia="Times New Roman" w:hAnsi="Times New Roman"/>
          <w:sz w:val="18"/>
          <w:szCs w:val="18"/>
          <w:color w:val="auto"/>
        </w:rPr>
        <w:t xml:space="preserve"> (Nasdaq: </w:t>
      </w:r>
      <w:r>
        <w:rPr>
          <w:rFonts w:ascii="Times New Roman" w:cs="Times New Roman" w:eastAsia="Times New Roman" w:hAnsi="Times New Roman"/>
          <w:sz w:val="18"/>
          <w:szCs w:val="18"/>
          <w:u w:val="single" w:color="auto"/>
          <w:color w:val="auto"/>
        </w:rPr>
        <w:t>MNY</w:t>
      </w:r>
      <w:r>
        <w:rPr>
          <w:rFonts w:ascii="Times New Roman" w:cs="Times New Roman" w:eastAsia="Times New Roman" w:hAnsi="Times New Roman"/>
          <w:sz w:val="18"/>
          <w:szCs w:val="18"/>
          <w:color w:val="auto"/>
        </w:rPr>
        <w:t>) (“MoneyHero” or the “Company”), a leading tech- and AI-powered personal finance aggregation and comparison platform and a digital insurance brokerage provider in Greater Southeast Asia, today announced its financial results for the third quarter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Rohith Murthy, Chief Executive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third quarter was another quarter of disciplined execution as we continue to reshape MoneyHero into a higher-margin, cash-generative business. Revenue regained growth momentum, increasing to US$21.1 million, up 17% sequentially and 1% year-over-year, as we deliberately focused on higher-quality volume in certain markets and verticals. We had a net loss of US$(3.5) million versus a quarterly net income of US$5.7 million during the same period last year, with the prior period primarily driven by unrealized foreign exchange gain and loss. Our Adjusted EBITDA loss narrowed by 68% year-over-year to US$(1.8) million, with Adjusted EBITDA margin improving from -26.5% to -8.4%. For the first nine months of 2025, our net loss narrowed sharply to US$(5.7) million from US$(19.6) million during the same period last year and our Adjusted EBITDA loss improved by 67% year-over-year to US$(7.0) million from US$(21.3) million, a clear early proof-point that the strategic pivot we began in the second half of 2024 is now driving structural operating leverage and making the turnaround visible in our financials.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hood, the quality of our revenue mix continues to improve and is central to our margin story. For the third quarter, Insurance and Wealth – our higher-margin revenue streams, now contribute 23% of Group revenue, up 2 percentage points year-over-year, with Insurance revenue up 13% year-over-year and Wealth up 5% year-over-year. In Singapore, our largest market, revenue grew strongly year-over-year as banks and insurers increased activity on our platforms. At the same time, total operating costs and expenses, excluding net foreign exchange differences, fell by 13% year-over-year to US$23.9 million, reflecting sustained efficiencies across marketing and advertising, technology and employee expenses and demonstrating the kind of operating leverage that will not reinflate as we return to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Our AI transformation, spearheaded by our recently launched Project Odyssey, which positions MoneyHero as a tech- and AI-powered personal financial platform, is embedding smart automation and conversational AI into core customer journeys. This includes the public rollout of our AI-powered Car Insurance SaverBot Beta on WhatsApp in Singapore, designed to simplify product discovery and accelerate conversions. These capabilities are already helping us lower customer acquisition cost per approval, increase approval quality for partners, and process higher service volumes with a flat headcount base. At the same time, Credit Hero Club in Hong Kong is cultivating a recurring base of high-intent users by providing personalized credit insights, monitoring tools, and tailored product recommendations. Collectively, these capabilities will create more personalized, multi-product experiences for our 8.8 million Members, enabling us to increase repeat usage and cross-sell in categories such as Insurance, Wealth and Personal Loans, further strengthening our market leadership in digital personal finance. Over time, we expect Odyssey and our higher-margin verticals to contribute meaningfully to EBITDA margin expansion and free cash flow generation as we scale.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Looking ahead, we expect Q4 2025 to be our first quarter of positive Adjusted EBITDA since listing - the profitability inflection we have been signaling — driven by continued mix shift toward higher-margin verticals, further benefits from AI-driven optimization and a structurally leaner cost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move into 2026, our focus is clear: scale higher-value revenue from Insurance, Wealth and other verticals; expand margins through AI-driven operating leverage; and convert more of our 8.8 million Members into repeat, multi-product customers. We expect full-year 2026 Adjusted EBITDA to be significantly better than 2025, supported by increasing operating leverage and the early financial benefits of our AI-driven transformation agenda. Executed well, this model positions us to deliver sustainable, capital-efficient growth and create long-term value creation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Danny Leung, Chief Financial Officer</w:t>
      </w:r>
      <w:r>
        <w:rPr>
          <w:rFonts w:ascii="Times New Roman" w:cs="Times New Roman" w:eastAsia="Times New Roman" w:hAnsi="Times New Roman"/>
          <w:sz w:val="18"/>
          <w:szCs w:val="18"/>
          <w:color w:val="auto"/>
        </w:rPr>
        <w:t>, added: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we reported US$21.1 million in revenue, representing a 17% sequential increase from Q2 and 1% year-over-year growth. This is now our second consecutive quarter of double-digit revenue growth, demonstrating a consistent recovery pattern built on healthy unit economics rather than the volume-driven growth we saw prior to our operating model reset last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revenue grew 13% year-over-year to US$2.3 million, and Wealth revenue grew 5% to US$2.6 million. Together they represented 23% of revenue, compared to 21% a year ago. This shift reflects a fundamental change in our revenue mix — one that is already raising margins, improving predictability, and strengthening the durability of earnings. Both internal data and external research highlight Insurance and Wealth as the core engines of long-term gross profit compounding, and the Q3 data confirms that momentum.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costs and expenses, excluding net foreign exchange differences, fell to US$23.9 million, a 13% reduction year-over-year. This is consistent with our stated objective of reshaping our cost base and reflects progress across every major category. Advertising and marketing costs declined as we executed more cost efficient campaigns and improved our fee structures with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Technology costs also declined meaningfully year-over-year, decreasing from US$2.0 million to US$0.9 million, as we have consolidated platforms, reduced vendor count, and embedded AI-driven automation in internal workflows. These improvements to our technology stack are enabling the business to ship more product features and achieve cost efficiencies across our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benefit expenses were notably lower versus last year, decreasing from US$5.7 million to US$4.2 million. This is partly due to our restructuring efforts completed earlier in 2024, and just as importantly, due to scaling impact of AI in increasing operational efficiencies. With 70–80% of incoming service queries now handled through support and service automation, we are able to grow applications and engagement without increasing headcount, which is a key driver of multi-year operating leverage.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Q3, Adjusted EBITDA improved to a loss of US$1.8 million, compared to a loss of US$5.5 million a year ago — an improvement of 68%. Adjusted EBITDA margin improved from -26.5% to -8.4%. This is the second consecutive quarter of sequential improvement, and the underlying drivers — mix shift, operating leverage, and reduced cost of revenue — remain consistent.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We expect Q4 to be our first quarter of positive Adjusted EBITDA. Our cost base is structurally lower, our revenue mix is structurally stronger, and the benefits of Project Odyssey are becoming visible not only in service automation but also in conversion and acquisition efficiency. We will continue allocating capital to the highest-return verticals, namely Insurance, Wealth, and Personal Loans.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ended the quarter with US$27.9 million in cash and cash equivalents, US$35.5 million in net current assets, and no material financial debt, giving us a solid liquidity position to support disciplined investment in AI, product innovation and higher-margin verticals.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Q3 reflects a business progressing steadily — operationally, financially, and structurally — toward our goal of sustainable, profitable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Highlights</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 year-over-year to US$21.1 million in the third quarter of 2025, reflecting a strategic shift toward diversifying revenue mix to enhance revenue quality.</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insurance products increased by 13% year-over-year to US$2.3 million in the third quarter of 2025, accounting for 11% of total revenue, compared to 10% during the same period last year.</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products increased by 5% year-over-year to US$2.6 million in the third quarter of 2025, accounting for 12% of total revenue, consistent with the same period last year.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excluding net foreign exchange differences, decreased by 13% to US$23.9 million in the third quarter of 2025 from US$27.4 million during the same period last year. This reduction was driven by optimized advertising and marketing spend, lower technology costs from platform efficiencies and vendor consolidations, and streamlined employee benefits following our restructuring initiatives.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costs and expenses include unrealized foreign exchange gains of US$0.9 million in the third quarter of 2025 and US$10.1 million in the prior year period. These gains resulted from local currencies strengthening against the US dollar during the quarter and are excluded from Adjusted EBITDA calculations.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US$(3.5) million in the third quarter of 2025 compared to a net income of US$5.7 million in the prior year period. The net income in the prior year period was primarily driven by the unrealized foreign exchange gain mentioned above.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to US$(1.8) million in the third quarter of 2025 from US$(5.5)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Operational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of 5.1 million for the three months ended September 30, 2025.</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to whom the Company provides more tailored product information and recommendations, grew by 27% year-over-year to 8.8 million as of September 30, 2025.</w:t>
      </w:r>
    </w:p>
    <w:p>
      <w:pPr>
        <w:sectPr>
          <w:pgSz w:w="11900" w:h="16838" w:orient="portrait"/>
          <w:cols w:equalWidth="0" w:num="1">
            <w:col w:w="11240"/>
          </w:cols>
          <w:pgMar w:left="320" w:top="904" w:right="339" w:bottom="1440" w:gutter="0" w:footer="0" w:header="0"/>
        </w:sectPr>
      </w:pP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MoneyHero sourced 370,000 applications and had 176,000 approved applications in the third quarter of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capital structure of the Company as of September 30,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Issued Shares</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and</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u w:val="single" w:color="auto"/>
          <w:color w:val="auto"/>
        </w:rPr>
        <w:t>Outstanding</w:t>
      </w:r>
    </w:p>
    <w:p>
      <w:pPr>
        <w:jc w:val="right"/>
        <w:ind w:right="100"/>
        <w:spacing w:after="0" w:line="219" w:lineRule="auto"/>
        <w:rPr>
          <w:sz w:val="20"/>
          <w:szCs w:val="20"/>
          <w:color w:val="auto"/>
        </w:rPr>
      </w:pPr>
      <w:r>
        <w:rPr>
          <w:rFonts w:ascii="Times New Roman" w:cs="Times New Roman" w:eastAsia="Times New Roman" w:hAnsi="Times New Roman"/>
          <w:sz w:val="18"/>
          <w:szCs w:val="18"/>
          <w:color w:val="auto"/>
        </w:rPr>
        <w:t>30,533,952</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13,254,838</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2,407,575</w:t>
      </w:r>
    </w:p>
    <w:p>
      <w:pPr>
        <w:spacing w:after="0" w:line="9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46,196,365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17145</wp:posOffset>
            </wp:positionV>
            <wp:extent cx="7029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-46990</wp:posOffset>
            </wp:positionH>
            <wp:positionV relativeFrom="paragraph">
              <wp:posOffset>43180</wp:posOffset>
            </wp:positionV>
            <wp:extent cx="7029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380" w:space="720"/>
            <w:col w:w="1140"/>
          </w:cols>
          <w:pgMar w:left="320" w:top="904" w:right="339" w:bottom="1440" w:gutter="0" w:footer="0" w:header="0"/>
          <w:type w:val="continuous"/>
        </w:sectPr>
      </w:pPr>
    </w:p>
    <w:p>
      <w:pPr>
        <w:spacing w:after="0" w:line="84" w:lineRule="exact"/>
        <w:rPr>
          <w:sz w:val="20"/>
          <w:szCs w:val="20"/>
          <w:color w:val="auto"/>
        </w:rPr>
      </w:pPr>
    </w:p>
    <w:p>
      <w:pPr>
        <w:ind w:left="340" w:hanging="332"/>
        <w:spacing w:after="0" w:line="197"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393,566 shares issued to Computershare Hong Kong Investor Services Limited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which are held in trust pending exercise and settlement of share options by Computershare to the underlying exercising option holder.</w:t>
      </w:r>
    </w:p>
    <w:p>
      <w:pPr>
        <w:ind w:left="340" w:hanging="332"/>
        <w:spacing w:after="0" w:line="181"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Public Warrants, Sponsor Warrants, Class A-1 Warrants, Class A-2 Warrants and Class A-3 Warrants are excluded since they are out of the money.</w:t>
      </w:r>
    </w:p>
    <w:p>
      <w:pPr>
        <w:spacing w:after="0" w:line="200" w:lineRule="exact"/>
        <w:rPr>
          <w:rFonts w:ascii="Times New Roman" w:cs="Times New Roman" w:eastAsia="Times New Roman" w:hAnsi="Times New Roman"/>
          <w:sz w:val="25"/>
          <w:szCs w:val="25"/>
          <w:color w:val="auto"/>
          <w:vertAlign w:val="superscript"/>
        </w:rPr>
      </w:pPr>
    </w:p>
    <w:p>
      <w:pPr>
        <w:spacing w:after="0" w:line="214" w:lineRule="exact"/>
        <w:rPr>
          <w:rFonts w:ascii="Times New Roman" w:cs="Times New Roman" w:eastAsia="Times New Roman" w:hAnsi="Times New Roman"/>
          <w:sz w:val="25"/>
          <w:szCs w:val="25"/>
          <w:color w:val="auto"/>
          <w:vertAlign w:val="superscript"/>
        </w:rPr>
      </w:pPr>
    </w:p>
    <w:p>
      <w:pPr>
        <w:ind w:left="558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18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31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34"/>
        </w:trPr>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(US$ in thousands, unless otherwise noted)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21,124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20,939</w:t>
            </w:r>
          </w:p>
        </w:tc>
        <w:tc>
          <w:tcPr>
            <w:tcW w:w="1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53,460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63,788</w:t>
            </w: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(1,776)</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(5,539)</w:t>
            </w: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(7,035)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(21,314)</w:t>
            </w:r>
          </w:p>
        </w:tc>
      </w:tr>
      <w:tr>
        <w:trPr>
          <w:trHeight w:val="216"/>
        </w:trPr>
        <w:tc>
          <w:tcPr>
            <w:tcW w:w="3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Clicks (in thousands) </w:t>
            </w:r>
            <w:r>
              <w:rPr>
                <w:rFonts w:ascii="Times New Roman" w:cs="Times New Roman" w:eastAsia="Times New Roman" w:hAnsi="Times New Roman"/>
                <w:sz w:val="29"/>
                <w:szCs w:val="29"/>
                <w:color w:val="auto"/>
                <w:vertAlign w:val="superscript"/>
              </w:rPr>
              <w:t>4</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1,884</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5,987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Applications (in thousands) </w:t>
            </w:r>
            <w:r>
              <w:rPr>
                <w:rFonts w:ascii="Times New Roman" w:cs="Times New Roman" w:eastAsia="Times New Roman" w:hAnsi="Times New Roman"/>
                <w:sz w:val="29"/>
                <w:szCs w:val="29"/>
                <w:color w:val="auto"/>
                <w:vertAlign w:val="superscript"/>
              </w:rPr>
              <w:t>5</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1,177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39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Approved Applications (in thousands) </w:t>
            </w:r>
            <w:r>
              <w:rPr>
                <w:rFonts w:ascii="Times New Roman" w:cs="Times New Roman" w:eastAsia="Times New Roman" w:hAnsi="Times New Roman"/>
                <w:sz w:val="29"/>
                <w:szCs w:val="29"/>
                <w:color w:val="auto"/>
                <w:vertAlign w:val="superscript"/>
              </w:rPr>
              <w:t>5</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breakdown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5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US$</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w:t>
            </w:r>
          </w:p>
        </w:tc>
        <w:tc>
          <w:tcPr>
            <w:tcW w:w="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color w:val="auto"/>
              </w:rPr>
              <w:t>(US$ in thousands, except for percentages)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10,208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23,065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7,540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8,075</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21,735</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23,057</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3,950</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5,848</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10,867</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gridSpan w:val="2"/>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20,939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53,460</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17,403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47,916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1,912</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3,536</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5,544</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10,567</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21,124</w:t>
            </w:r>
          </w:p>
        </w:tc>
        <w:tc>
          <w:tcPr>
            <w:tcW w:w="1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53,460</w:t>
            </w:r>
          </w:p>
        </w:tc>
        <w:tc>
          <w:tcPr>
            <w:tcW w:w="1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1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14,214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41,399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6,400</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Wealth</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2,562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2,052</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6,784</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6,056</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5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21,124</w:t>
            </w: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53,460</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63,788</w:t>
            </w:r>
          </w:p>
        </w:tc>
        <w:tc>
          <w:tcPr>
            <w:tcW w:w="1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jc w:val="both"/>
        <w:ind w:left="340" w:hanging="332"/>
        <w:spacing w:after="0" w:line="219"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comparative figures for the prior period have not been restated and are presented consistently with the originally issued unaudited financial statements for the third quarter 2024. Subsequently, during the year-end closing process, we revised the estimate for customer reward liabilities. This adjustment, had it been recognized in the third quarter of the prior year, would have decreased cost of revenue and increased Adjusted EBITDA by US$570 thousand each.</w:t>
      </w:r>
    </w:p>
    <w:p>
      <w:pPr>
        <w:spacing w:after="0" w:line="1" w:lineRule="exact"/>
        <w:rPr>
          <w:sz w:val="20"/>
          <w:szCs w:val="20"/>
          <w:color w:val="auto"/>
        </w:rPr>
      </w:pPr>
    </w:p>
    <w:p>
      <w:pPr>
        <w:jc w:val="both"/>
        <w:ind w:left="340" w:hanging="332"/>
        <w:spacing w:after="0" w:line="204"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click data for this period following the transition. Please refer to the section titled “Key Performance Metrics and Non-IFRS Financial Measures” for more information regarding the change in methodology.</w:t>
      </w:r>
    </w:p>
    <w:p>
      <w:pPr>
        <w:spacing w:after="0" w:line="3" w:lineRule="exact"/>
        <w:rPr>
          <w:sz w:val="20"/>
          <w:szCs w:val="20"/>
          <w:color w:val="auto"/>
        </w:rPr>
      </w:pPr>
    </w:p>
    <w:p>
      <w:pPr>
        <w:ind w:left="340" w:right="20" w:hanging="332"/>
        <w:spacing w:after="0" w:line="187"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9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2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r>
              <w:rPr>
                <w:rFonts w:ascii="Times New Roman" w:cs="Times New Roman" w:eastAsia="Times New Roman" w:hAnsi="Times New Roman"/>
                <w:sz w:val="29"/>
                <w:szCs w:val="29"/>
                <w:b w:val="1"/>
                <w:bCs w:val="1"/>
                <w:color w:val="auto"/>
                <w:vertAlign w:val="superscript"/>
              </w:rPr>
              <w:t>6</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(in millions, except for percentages)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4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34.9%</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4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20" w:type="dxa"/>
            <w:vAlign w:val="bottom"/>
            <w:gridSpan w:val="2"/>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4"/>
                <w:szCs w:val="24"/>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Total Traffic </w:t>
            </w:r>
            <w:r>
              <w:rPr>
                <w:rFonts w:ascii="Times New Roman" w:cs="Times New Roman" w:eastAsia="Times New Roman" w:hAnsi="Times New Roman"/>
                <w:sz w:val="29"/>
                <w:szCs w:val="29"/>
                <w:b w:val="1"/>
                <w:bCs w:val="1"/>
                <w:color w:val="auto"/>
                <w:vertAlign w:val="superscript"/>
              </w:rPr>
              <w:t>6</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19.6%</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4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9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4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22.6</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50.3</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p>
        </w:tc>
        <w:tc>
          <w:tcPr>
            <w:tcW w:w="1100" w:type="dxa"/>
            <w:vAlign w:val="bottom"/>
          </w:tcPr>
          <w:p>
            <w:pPr>
              <w:spacing w:after="0"/>
              <w:rPr>
                <w:sz w:val="20"/>
                <w:szCs w:val="20"/>
                <w:color w:val="auto"/>
              </w:rPr>
            </w:pPr>
          </w:p>
        </w:tc>
        <w:tc>
          <w:tcPr>
            <w:tcW w:w="33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millions, except for percentages)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68.2%</w:t>
            </w:r>
          </w:p>
        </w:tc>
        <w:tc>
          <w:tcPr>
            <w:tcW w:w="7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8.8</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w:t>
            </w: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on Friday, December 5, 2025, at 8:00 a.m. Eastern Standard Time / 9:00 p.m. Singapore Standard Time to discuss the Company’s financial results. The MoneyHero Limited (NASDAQ: MNY) Q3 2025 Earnings call can be accessed by registering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https://edge.media-server.com/mmc/p/jictztj7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https://register-conf.media-server.com/register/BIa4d36247db734c50987d0493c6eaf2f9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260 commercial partner relationships as at September 30, 2025, and had approximately 5.1 million Monthly Unique Users across its platform for the three months ended September 30,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10"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July 1, 2024, we transitioned from Universal Analytics to Google Analytics 4. Consequently, we are unable to provide comparable monthly unique users and total traffic for this period following the transition. Please refer to the section titled “Key Performance Metrics and Non-IFRS Financial Measures” for more information regarding the change in methodology.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utilized data from Universal Analytics (“UA”), Google’s analytics platform, to measure three key business metrics: monthly unique users, traffic, and clicks. Effective July 1, 2024, Google Analytics 4 (“GA4”) replaced UA. The methodologies used in GA4 are different and not comparable to the methodologies used in UA. While Google has provided some guidance on these differences, Google has not made available sufficient information for us to assess the impact (whether positive or negative) of this transition on our key business metrics, nor can we quantify the extent of such impact. Furthermore, due to the adoption of GA4, we have adjusted our definitions of these key business metrics to enhance accuracy and align them more closely with previous definitions under UA. Therefore, we are unable to provide comparable data for monthly unique user, traffic, and clicks for any periods prior to July 1,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the Philippines and Malaysia, and (iii) users who are registered in our rewards database in Singapore and Hong Kong. Any duplications across the three sources above are deduplicated.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collectively, to evaluate ongoing operations and for internal planning and forecasting purposes. MoneyHero Group believes that non-IFRS information, when taken collectively,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period and profit/(loss) before income tax.</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non-IFRS financial measure defined as profit/(loss) for the period plus tax expenses, depreciation and amortization, interest income, finance costs, impairment of intangible assets, impairment of other assets, equity-settled share-based payment expenses, transaction expenses, other non-recurring costs related to strategic exercises, changes in the fair value of financial instruments, non-recurring legal fees, and unrealized foreign exchange differences. Adjusted EBITDA Margin is defined as Adjusted EBITDA as a percentage of revenue.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8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620" w:type="dxa"/>
            <w:vAlign w:val="bottom"/>
          </w:tcPr>
          <w:p>
            <w:pPr>
              <w:spacing w:after="0"/>
              <w:rPr>
                <w:sz w:val="21"/>
                <w:szCs w:val="21"/>
                <w:color w:val="auto"/>
              </w:rPr>
            </w:pPr>
          </w:p>
        </w:tc>
        <w:tc>
          <w:tcPr>
            <w:tcW w:w="286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76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63"/>
        </w:trPr>
        <w:tc>
          <w:tcPr>
            <w:tcW w:w="56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3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7</w:t>
            </w:r>
          </w:p>
        </w:tc>
        <w:tc>
          <w:tcPr>
            <w:tcW w:w="360" w:type="dxa"/>
            <w:vAlign w:val="bottom"/>
            <w:tcBorders>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5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7</w:t>
            </w:r>
          </w:p>
        </w:tc>
        <w:tc>
          <w:tcPr>
            <w:tcW w:w="240" w:type="dxa"/>
            <w:vAlign w:val="bottom"/>
          </w:tcPr>
          <w:p>
            <w:pPr>
              <w:spacing w:after="0"/>
              <w:rPr>
                <w:sz w:val="22"/>
                <w:szCs w:val="22"/>
                <w:color w:val="auto"/>
              </w:rPr>
            </w:pPr>
          </w:p>
        </w:tc>
      </w:tr>
      <w:tr>
        <w:trPr>
          <w:trHeight w:val="234"/>
        </w:trPr>
        <w:tc>
          <w:tcPr>
            <w:tcW w:w="5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(US$ in thousands)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5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for the period</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(3,474)</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5,721</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(5,707)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(19,601)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1,085</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963</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(288)</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w:t>
            </w:r>
          </w:p>
        </w:tc>
      </w:tr>
      <w:tr>
        <w:trPr>
          <w:trHeight w:val="23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6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(3,274)</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6,555</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(5,158)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(17,601)</w:t>
            </w:r>
          </w:p>
        </w:tc>
      </w:tr>
      <w:tr>
        <w:trPr>
          <w:trHeight w:val="216"/>
        </w:trPr>
        <w:tc>
          <w:tcPr>
            <w:tcW w:w="5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1,708</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(1,209)</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284</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settled share-based payment arising from employee share incentive</w:t>
            </w: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scheme</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816</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net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(10,127)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(4,822)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(4,326)</w:t>
            </w:r>
          </w:p>
        </w:tc>
      </w:tr>
      <w:tr>
        <w:trPr>
          <w:trHeight w:val="216"/>
        </w:trPr>
        <w:tc>
          <w:tcPr>
            <w:tcW w:w="5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and other non-recurring strategic exercises related items: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Malaysian operations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non-recurring costs related to strategic exercises</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legal fees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295</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56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345"/>
        </w:trPr>
        <w:tc>
          <w:tcPr>
            <w:tcW w:w="5620" w:type="dxa"/>
            <w:vAlign w:val="bottom"/>
          </w:tcPr>
          <w:p>
            <w:pPr>
              <w:spacing w:after="0" w:line="29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(1,776)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(5,539)</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(7,035)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(21,314)</w:t>
            </w:r>
          </w:p>
        </w:tc>
      </w:tr>
      <w:tr>
        <w:trPr>
          <w:trHeight w:val="216"/>
        </w:trPr>
        <w:tc>
          <w:tcPr>
            <w:tcW w:w="56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21,124</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20,939</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53,460</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63,788</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(1,776)</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(5,539)</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(7,035)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(21,314)</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(26.5)%</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3" w:lineRule="exact"/>
        <w:rPr>
          <w:sz w:val="20"/>
          <w:szCs w:val="20"/>
          <w:color w:val="auto"/>
        </w:rPr>
      </w:pPr>
    </w:p>
    <w:p>
      <w:pPr>
        <w:jc w:val="both"/>
        <w:ind w:left="340" w:hanging="332"/>
        <w:spacing w:after="0" w:line="219"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comparative figures for the prior period have not been restated and are presented consistently with the originally issued unaudited financial statements for the third quarter 2024. Subsequently, during the year-end closing process, we revised the estimate for customer reward liabilities. This adjustment, had it been recognized in the third quarter of the prior year, would have decreased cost of revenue and increased Adjusted EBITDA by US$570 thousand each.</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2024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Profit or Loss and Other Comprehensive Loss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5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8</w:t>
            </w:r>
          </w:p>
        </w:tc>
        <w:tc>
          <w:tcPr>
            <w:tcW w:w="220" w:type="dxa"/>
            <w:vAlign w:val="bottom"/>
            <w:tcBorders>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line="256"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9"/>
                <w:szCs w:val="29"/>
                <w:b w:val="1"/>
                <w:bCs w:val="1"/>
                <w:color w:val="auto"/>
                <w:vertAlign w:val="superscript"/>
              </w:rPr>
              <w:t>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4280" w:type="dxa"/>
            <w:vAlign w:val="bottom"/>
            <w:gridSpan w:val="7"/>
          </w:tcPr>
          <w:p>
            <w:pPr>
              <w:ind w:left="960"/>
              <w:spacing w:after="0"/>
              <w:rPr>
                <w:sz w:val="20"/>
                <w:szCs w:val="20"/>
                <w:color w:val="auto"/>
              </w:rPr>
            </w:pPr>
            <w:r>
              <w:rPr>
                <w:rFonts w:ascii="Times New Roman" w:cs="Times New Roman" w:eastAsia="Times New Roman" w:hAnsi="Times New Roman"/>
                <w:sz w:val="18"/>
                <w:szCs w:val="18"/>
                <w:color w:val="auto"/>
              </w:rPr>
              <w:t>(US$ in thousands, except for loss per share)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21,124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20,939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53,460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63,788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9"/>
                <w:szCs w:val="29"/>
                <w:color w:val="auto"/>
                <w:vertAlign w:val="superscript"/>
              </w:rPr>
              <w:t>8</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(12,328)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(27,793)</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(3,948)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(2,598)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(7,141)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(1,905)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3,652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(Loss)/Profit before tax</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(3,474)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(5,693)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(19,511)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(Loss)/Profit for the period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(3,474</w:t>
            </w:r>
          </w:p>
        </w:tc>
        <w:tc>
          <w:tcPr>
            <w:tcW w:w="26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5,721</w:t>
            </w: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w w:val="94"/>
              </w:rPr>
              <w:t>(5,707</w:t>
            </w:r>
          </w:p>
        </w:tc>
        <w:tc>
          <w:tcPr>
            <w:tcW w:w="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(19,601</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Other comprehensive loss that may be classified to profit or loss in subsequent periods (net of tax):</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ind w:left="180" w:right="200" w:hanging="161"/>
        <w:spacing w:after="0" w:line="261" w:lineRule="auto"/>
        <w:rPr>
          <w:sz w:val="20"/>
          <w:szCs w:val="20"/>
          <w:color w:val="auto"/>
        </w:rPr>
      </w:pPr>
      <w:r>
        <w:rPr>
          <w:rFonts w:ascii="Times New Roman" w:cs="Times New Roman" w:eastAsia="Times New Roman" w:hAnsi="Times New Roman"/>
          <w:sz w:val="18"/>
          <w:szCs w:val="18"/>
          <w:color w:val="auto"/>
        </w:rPr>
        <w:t>Other comprehensive income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Remeasurement gains on defined benefit plan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(9,353)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884"/>
        </w:trPr>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80"/>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(3,140)</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(3,623)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(9,153)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(23,959)</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60" w:space="320"/>
            <w:col w:w="5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(Loss)/earnings per share attributable to ordinary equity holders of the parent</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340" w:hanging="332"/>
        <w:spacing w:after="0" w:line="219"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comparative figures for the prior period have not been restated and are presented consistently with the originally issued unaudited financial statements for the third quarter 2024. Subsequently, during the year-end closing process, we revised the estimate for customer reward liabilities. This adjustment, had it been recognized in the third quarter of the prior year, would have decreased cost of revenue and increased Adjusted EBITDA by US$570 thousand each.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Financial Position</w:t>
            </w: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9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4840" w:type="dxa"/>
            <w:vAlign w:val="bottom"/>
            <w:gridSpan w:val="3"/>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4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3,531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19,198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27,924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42,522</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72,370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payables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33,122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35,508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46,135</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48,736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6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50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38,418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48,227</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5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3720" w:type="dxa"/>
            <w:vAlign w:val="bottom"/>
            <w:gridSpan w:val="2"/>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48,223</w:t>
            </w: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vMerge w:val="continue"/>
            <w:shd w:val="clear" w:color="auto" w:fill="CCEEFF"/>
          </w:tcPr>
          <w:p>
            <w:pPr>
              <w:spacing w:after="0"/>
              <w:rPr>
                <w:sz w:val="21"/>
                <w:szCs w:val="21"/>
                <w:color w:val="auto"/>
              </w:rPr>
            </w:pPr>
          </w:p>
        </w:tc>
        <w:tc>
          <w:tcPr>
            <w:tcW w:w="3720" w:type="dxa"/>
            <w:vAlign w:val="bottom"/>
            <w:gridSpan w:val="2"/>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48,227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5"/>
      <w:numFmt w:val="bullet"/>
      <w:start w:val="1"/>
    </w:lvl>
  </w:abstractNum>
  <w:abstractNum w:abstractNumId="9">
    <w:nsid w:val="1F16E9E8"/>
    <w:multiLevelType w:val="hybridMultilevel"/>
    <w:lvl w:ilvl="0">
      <w:lvlJc w:val="left"/>
      <w:lvlText w:val="6"/>
      <w:numFmt w:val="bullet"/>
      <w:start w:val="1"/>
    </w:lvl>
  </w:abstractNum>
  <w:abstractNum w:abstractNumId="10">
    <w:nsid w:val="1190CDE7"/>
    <w:multiLevelType w:val="hybridMultilevel"/>
    <w:lvl w:ilvl="0">
      <w:lvlJc w:val="left"/>
      <w:lvlText w:val="7"/>
      <w:numFmt w:val="bullet"/>
      <w:start w:val="1"/>
    </w:lvl>
  </w:abstractNum>
  <w:abstractNum w:abstractNumId="11">
    <w:nsid w:val="66EF438D"/>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2025-12-05T05:11:35Z</dcterms:created>
  <dcterms:modified xsi:type="dcterms:W3CDTF">2025-12-05T05:11:35Z</dcterms:modified>
</cp:coreProperties>
</file>